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center"/>
        <w:rPr>
          <w:b/>
          <w:b/>
          <w:sz w:val="16"/>
          <w:szCs w:val="16"/>
        </w:rPr>
      </w:pPr>
      <w:r>
        <w:rPr>
          <w:rFonts w:eastAsia="Times New Roman"/>
          <w:b/>
          <w:bCs/>
          <w:color w:val="000000" w:themeColor="text1"/>
          <w:highlight w:val="yellow"/>
        </w:rPr>
        <w:drawing>
          <wp:anchor behindDoc="0" distT="0" distB="0" distL="0" distR="0" simplePos="0" locked="0" layoutInCell="1" allowOverlap="1" relativeHeight="7">
            <wp:simplePos x="0" y="0"/>
            <wp:positionH relativeFrom="column">
              <wp:align>center</wp:align>
            </wp:positionH>
            <wp:positionV relativeFrom="paragraph">
              <wp:posOffset>635</wp:posOffset>
            </wp:positionV>
            <wp:extent cx="6480175" cy="8919210"/>
            <wp:effectExtent l="0" t="0" r="0" b="0"/>
            <wp:wrapSquare wrapText="largest"/>
            <wp:docPr id="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descr=""/>
                    <pic:cNvPicPr>
                      <a:picLocks noChangeAspect="1" noChangeArrowheads="1"/>
                    </pic:cNvPicPr>
                  </pic:nvPicPr>
                  <pic:blipFill>
                    <a:blip r:embed="rId2"/>
                    <a:stretch>
                      <a:fillRect/>
                    </a:stretch>
                  </pic:blipFill>
                  <pic:spPr bwMode="auto">
                    <a:xfrm>
                      <a:off x="0" y="0"/>
                      <a:ext cx="6480175" cy="8919210"/>
                    </a:xfrm>
                    <a:prstGeom prst="rect">
                      <a:avLst/>
                    </a:prstGeom>
                  </pic:spPr>
                </pic:pic>
              </a:graphicData>
            </a:graphic>
          </wp:anchor>
        </w:drawing>
      </w:r>
      <w:r>
        <w:br w:type="page"/>
      </w:r>
    </w:p>
    <w:p>
      <w:pPr>
        <w:pStyle w:val="Normal"/>
        <w:widowControl/>
        <w:spacing w:beforeAutospacing="1" w:afterAutospacing="1"/>
        <w:ind w:right="-1" w:firstLine="709"/>
        <w:jc w:val="center"/>
        <w:rPr>
          <w:rFonts w:eastAsia="Times New Roman"/>
          <w:b/>
          <w:b/>
          <w:bCs/>
          <w:color w:val="000000" w:themeColor="text1"/>
        </w:rPr>
      </w:pPr>
      <w:r>
        <w:rPr>
          <w:rFonts w:eastAsia="Times New Roman"/>
          <w:b/>
          <w:bCs/>
          <w:color w:val="000000" w:themeColor="text1"/>
        </w:rPr>
        <w:t>1. Общие положения</w:t>
      </w:r>
    </w:p>
    <w:p>
      <w:pPr>
        <w:pStyle w:val="Normal"/>
        <w:widowControl/>
        <w:spacing w:beforeAutospacing="1" w:afterAutospacing="1"/>
        <w:ind w:right="-1" w:hanging="0"/>
        <w:rPr>
          <w:rFonts w:eastAsia="Times New Roman"/>
          <w:color w:val="000000" w:themeColor="text1"/>
        </w:rPr>
      </w:pPr>
      <w:r>
        <w:rPr>
          <w:rFonts w:eastAsia="Times New Roman"/>
          <w:b/>
          <w:color w:val="000000" w:themeColor="text1"/>
        </w:rPr>
        <w:t>1.1. Основания для проведения негосударственной экспертизы</w:t>
      </w:r>
      <w:r>
        <w:rPr>
          <w:rFonts w:eastAsia="Times New Roman"/>
          <w:color w:val="000000" w:themeColor="text1"/>
        </w:rPr>
        <w:t>:</w:t>
      </w:r>
    </w:p>
    <w:p>
      <w:pPr>
        <w:pStyle w:val="Normal"/>
        <w:widowControl/>
        <w:ind w:right="-1" w:hanging="0"/>
        <w:rPr>
          <w:rFonts w:eastAsia="Times New Roman"/>
          <w:color w:val="000000" w:themeColor="text1"/>
        </w:rPr>
      </w:pPr>
      <w:r>
        <w:rPr>
          <w:rFonts w:eastAsia="Times New Roman"/>
          <w:color w:val="000000" w:themeColor="text1"/>
        </w:rPr>
        <w:t>- заявление о проведении негосударственной экспертизы проектной документации и результатов инженерных изысканий.</w:t>
      </w:r>
    </w:p>
    <w:p>
      <w:pPr>
        <w:pStyle w:val="Normal"/>
        <w:widowControl/>
        <w:ind w:right="-1" w:hanging="0"/>
        <w:rPr>
          <w:rFonts w:eastAsia="Times New Roman"/>
          <w:color w:val="000000" w:themeColor="text1"/>
        </w:rPr>
      </w:pPr>
      <w:r>
        <w:rPr>
          <w:rFonts w:eastAsia="Times New Roman"/>
          <w:color w:val="000000" w:themeColor="text1"/>
        </w:rPr>
      </w:r>
    </w:p>
    <w:p>
      <w:pPr>
        <w:pStyle w:val="Normal"/>
        <w:widowControl/>
        <w:ind w:right="-1" w:hanging="0"/>
        <w:rPr>
          <w:color w:val="000000" w:themeColor="text1"/>
        </w:rPr>
      </w:pPr>
      <w:r>
        <w:rPr>
          <w:rFonts w:eastAsia="Times New Roman"/>
          <w:color w:val="000000" w:themeColor="text1"/>
        </w:rPr>
        <w:t xml:space="preserve">- договор № 64/16 от 08.11.2016г. о проведении негосударственной экспертизы проектной документации и результатов инженерно-геологических изысканий </w:t>
      </w:r>
      <w:r>
        <w:rPr>
          <w:rStyle w:val="FontStyle19"/>
          <w:color w:val="000000" w:themeColor="text1"/>
        </w:rPr>
        <w:t>по объекту:</w:t>
      </w:r>
      <w:r>
        <w:rPr>
          <w:bCs/>
          <w:color w:val="000000" w:themeColor="text1"/>
          <w:sz w:val="28"/>
          <w:szCs w:val="28"/>
        </w:rPr>
        <w:t xml:space="preserve"> </w:t>
      </w:r>
      <w:r>
        <w:rPr>
          <w:color w:val="000000" w:themeColor="text1"/>
        </w:rPr>
        <w:t>«Многоквартирные многоэтажные  жилые дома со встроенно-пристроенными помещениями делового, культурного и обслуживающего назначения по ул. Юбилейной в Автозаводском районе г. Тольятти. Позиция 4. 1 этап строительства, 2 этап строительства», по адресу: Самарская область, г. Тольятти, ул. Юбилейная.</w:t>
      </w:r>
    </w:p>
    <w:p>
      <w:pPr>
        <w:pStyle w:val="Normal"/>
        <w:ind w:right="-1" w:hanging="0"/>
        <w:rPr>
          <w:rStyle w:val="FontStyle19"/>
          <w:bCs/>
          <w:color w:val="000000" w:themeColor="text1"/>
        </w:rPr>
      </w:pPr>
      <w:r>
        <w:rPr>
          <w:bCs/>
          <w:color w:val="000000" w:themeColor="text1"/>
        </w:rPr>
      </w:r>
    </w:p>
    <w:p>
      <w:pPr>
        <w:pStyle w:val="Normal"/>
        <w:widowControl/>
        <w:ind w:right="-1" w:hanging="0"/>
        <w:rPr>
          <w:rFonts w:eastAsia="Times New Roman"/>
          <w:color w:val="000000" w:themeColor="text1"/>
          <w:highlight w:val="yellow"/>
        </w:rPr>
      </w:pPr>
      <w:r>
        <w:rPr>
          <w:rFonts w:eastAsia="Times New Roman"/>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1.2. Сведения об объекте негосударственной экспертизы с указанием вида и наименования рассматриваемой документации (материалов), разделов такой документации:</w:t>
      </w:r>
    </w:p>
    <w:p>
      <w:pPr>
        <w:pStyle w:val="Normal"/>
        <w:widowControl/>
        <w:ind w:left="-567" w:right="141" w:hanging="0"/>
        <w:rPr>
          <w:rFonts w:eastAsia="Times New Roman"/>
          <w:b/>
          <w:b/>
          <w:color w:val="000000" w:themeColor="text1"/>
        </w:rPr>
      </w:pPr>
      <w:r>
        <w:rPr>
          <w:rFonts w:eastAsia="Times New Roman"/>
          <w:b/>
          <w:color w:val="000000" w:themeColor="text1"/>
        </w:rPr>
      </w:r>
    </w:p>
    <w:tbl>
      <w:tblPr>
        <w:tblW w:w="9734"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23"/>
        <w:gridCol w:w="5632"/>
        <w:gridCol w:w="1491"/>
        <w:gridCol w:w="1987"/>
      </w:tblGrid>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lineRule="auto" w:line="276"/>
              <w:ind w:left="-567" w:firstLine="567"/>
              <w:rPr>
                <w:b/>
                <w:b/>
                <w:sz w:val="22"/>
                <w:szCs w:val="22"/>
              </w:rPr>
            </w:pPr>
            <w:r>
              <w:rPr>
                <w:b/>
                <w:sz w:val="22"/>
                <w:szCs w:val="22"/>
              </w:rPr>
              <w:t xml:space="preserve">№ </w:t>
            </w:r>
            <w:r>
              <w:rPr>
                <w:b/>
                <w:sz w:val="22"/>
                <w:szCs w:val="22"/>
              </w:rPr>
              <w:t>п/п</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lineRule="auto" w:line="276"/>
              <w:ind w:left="-567" w:firstLine="567"/>
              <w:jc w:val="center"/>
              <w:rPr>
                <w:b/>
                <w:b/>
                <w:sz w:val="22"/>
                <w:szCs w:val="22"/>
              </w:rPr>
            </w:pPr>
            <w:r>
              <w:rPr>
                <w:b/>
                <w:sz w:val="22"/>
                <w:szCs w:val="22"/>
              </w:rPr>
            </w:r>
          </w:p>
          <w:p>
            <w:pPr>
              <w:pStyle w:val="Normal"/>
              <w:spacing w:lineRule="auto" w:line="276"/>
              <w:ind w:left="-567" w:firstLine="567"/>
              <w:jc w:val="center"/>
              <w:rPr>
                <w:b/>
                <w:b/>
                <w:sz w:val="22"/>
                <w:szCs w:val="22"/>
              </w:rPr>
            </w:pPr>
            <w:r>
              <w:rPr>
                <w:b/>
                <w:sz w:val="22"/>
                <w:szCs w:val="22"/>
              </w:rPr>
              <w:t xml:space="preserve">Наименование документации </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lineRule="auto" w:line="276"/>
              <w:ind w:left="-567" w:firstLine="567"/>
              <w:jc w:val="center"/>
              <w:rPr>
                <w:b/>
                <w:b/>
                <w:sz w:val="22"/>
                <w:szCs w:val="22"/>
              </w:rPr>
            </w:pPr>
            <w:r>
              <w:rPr>
                <w:b/>
                <w:sz w:val="22"/>
                <w:szCs w:val="22"/>
              </w:rPr>
              <w:t xml:space="preserve">№ </w:t>
            </w:r>
            <w:r>
              <w:rPr>
                <w:b/>
                <w:sz w:val="22"/>
                <w:szCs w:val="22"/>
              </w:rPr>
              <w:t xml:space="preserve">тома </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
                <w:b/>
                <w:bCs/>
                <w:sz w:val="22"/>
                <w:szCs w:val="22"/>
                <w:lang w:bidi="ru-RU"/>
              </w:rPr>
            </w:pPr>
            <w:r>
              <w:rPr>
                <w:rFonts w:eastAsia="Lucida Sans Unicode"/>
                <w:b/>
                <w:bCs/>
                <w:sz w:val="22"/>
                <w:szCs w:val="22"/>
                <w:lang w:bidi="ru-RU"/>
              </w:rPr>
              <w:t>Обозначение</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Раздел 1. Пояснительная записка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 xml:space="preserve">1 </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9/16-ПЗ</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2</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Раздел 2. Схема планировочной организации земельного</w:t>
            </w:r>
          </w:p>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участка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2</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9/16-ПЗУ</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3</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Раздел 3. Архитектурные решения</w:t>
            </w:r>
          </w:p>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3</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9/16-АР</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4</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Раздел 4. Конструктивные и объемно-планировочные</w:t>
            </w:r>
          </w:p>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решения</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4</w:t>
            </w:r>
          </w:p>
        </w:tc>
        <w:tc>
          <w:tcPr>
            <w:tcW w:w="1987"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4/16-КР</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5</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Часть 1. Конструкции железобетонные ниже отм.0,000. Устройство монолитной фундаментной плиты</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4.1</w:t>
            </w:r>
          </w:p>
        </w:tc>
        <w:tc>
          <w:tcPr>
            <w:tcW w:w="198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6</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Часть 2. Конструкции железобетонные</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4.2</w:t>
            </w:r>
          </w:p>
        </w:tc>
        <w:tc>
          <w:tcPr>
            <w:tcW w:w="198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7</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Часть 3. Инженерные расчёты</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4.3</w:t>
            </w:r>
          </w:p>
        </w:tc>
        <w:tc>
          <w:tcPr>
            <w:tcW w:w="198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8</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 xml:space="preserve">Раздел 5. Сведения об инженерном оборудовании, </w:t>
            </w:r>
          </w:p>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 xml:space="preserve">о сетях инженерно-технического обеспечения, </w:t>
            </w:r>
          </w:p>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перечень инженерно-технических мероприятий,</w:t>
            </w:r>
          </w:p>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содержание технологических решений.</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5</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9/16-ИОС</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9</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Подраздел 1. Система электроснабжения.</w:t>
            </w:r>
          </w:p>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Часть 1. Электрооборудование и электроосвещение</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5.1</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9/16-ИОС1</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10</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Подраздел 2, 3. Система водоснабжения.</w:t>
            </w:r>
          </w:p>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Система водоотведения.</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5.2, 5.3</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9/16-ИОС2, 3</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11</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 xml:space="preserve">Подраздел 4. Отопление, вентиляция </w:t>
            </w:r>
          </w:p>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и кондиционирование воздуха. Тепловые сети.</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5.4</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9/16-ИОС4</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12</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Часть 1. Отопление и вентиляция.</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9/16-1-ИОС4.1</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13</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Часть 2. Тепловой пункт. Узел учета тепла.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9/16-ИОС4.2</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14</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Подраздел 5. Сети связи</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5.5</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9/16-ИОС5</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15</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Часть 1. Телефонизация, радиофикация, домофонная</w:t>
            </w:r>
          </w:p>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связь, телевидение</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9/16-ИОС5.1</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16</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Часть 2. Пожарная сигнализация и оповещение о пожаре</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9/16-ИОС5.2</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17</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Подраздел 7. Автоматизация</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5.7</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9/16-ИОС7</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18</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Раздел 6. Проект организации строительства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6</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9/16-ПОС</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19</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Раздел 8. Перечень мероприятий по охране окружающей</w:t>
            </w:r>
          </w:p>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среды</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7</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9/16-ООС</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20</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Раздел 9. Мероприятия по обеспечению пожарной</w:t>
            </w:r>
          </w:p>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безопасности</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8</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9/16-ПБ</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21</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 xml:space="preserve">Раздел 10. Мероприятия по обеспечению доступа </w:t>
            </w:r>
          </w:p>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инвалидов</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9/16-ОДИ</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22</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Раздел 10-1 «Требования к обеспечению безопасной</w:t>
            </w:r>
          </w:p>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эксплуатации объекта капитального строительства»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10</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9/16-ТБЭ</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left="-567" w:firstLine="567"/>
              <w:textAlignment w:val="baseline"/>
              <w:rPr>
                <w:rFonts w:eastAsia="Lucida Sans Unicode"/>
                <w:bCs/>
                <w:sz w:val="22"/>
                <w:szCs w:val="22"/>
                <w:lang w:bidi="ru-RU"/>
              </w:rPr>
            </w:pPr>
            <w:r>
              <w:rPr>
                <w:rFonts w:eastAsia="Lucida Sans Unicode"/>
                <w:bCs/>
                <w:sz w:val="22"/>
                <w:szCs w:val="22"/>
                <w:lang w:bidi="ru-RU"/>
              </w:rPr>
              <w:t>23</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Раздел 11-1. Перечень мероприятий по обеспечению</w:t>
            </w:r>
          </w:p>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требований энергетической эффективности и</w:t>
            </w:r>
          </w:p>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 xml:space="preserve">требований оснащённости зданий, строений </w:t>
            </w:r>
          </w:p>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и сооружений приборами</w:t>
            </w:r>
          </w:p>
          <w:p>
            <w:pPr>
              <w:pStyle w:val="Normal"/>
              <w:suppressLineNumbers/>
              <w:tabs>
                <w:tab w:val="right" w:pos="30" w:leader="dot"/>
              </w:tabs>
              <w:suppressAutoHyphens w:val="true"/>
              <w:ind w:left="-567" w:firstLine="567"/>
              <w:textAlignment w:val="baseline"/>
              <w:rPr>
                <w:rFonts w:eastAsia="Lucida Sans Unicode"/>
                <w:bCs/>
                <w:sz w:val="22"/>
                <w:szCs w:val="22"/>
                <w:lang w:bidi="ru-RU"/>
              </w:rPr>
            </w:pPr>
            <w:r>
              <w:rPr>
                <w:rFonts w:eastAsia="Lucida Sans Unicode"/>
                <w:bCs/>
                <w:sz w:val="22"/>
                <w:szCs w:val="22"/>
                <w:lang w:bidi="ru-RU"/>
              </w:rPr>
              <w:t xml:space="preserve"> </w:t>
            </w:r>
            <w:r>
              <w:rPr>
                <w:rFonts w:eastAsia="Lucida Sans Unicode"/>
                <w:bCs/>
                <w:sz w:val="22"/>
                <w:szCs w:val="22"/>
                <w:lang w:bidi="ru-RU"/>
              </w:rPr>
              <w:t>учёта используемых энергетических ресурсов.</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11</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t>9/16-ЭЭ</w:t>
            </w:r>
          </w:p>
          <w:p>
            <w:pPr>
              <w:pStyle w:val="Normal"/>
              <w:suppressLineNumbers/>
              <w:tabs>
                <w:tab w:val="right" w:pos="30" w:leader="dot"/>
              </w:tabs>
              <w:suppressAutoHyphens w:val="true"/>
              <w:ind w:left="-567" w:firstLine="567"/>
              <w:jc w:val="center"/>
              <w:textAlignment w:val="baseline"/>
              <w:rPr>
                <w:rFonts w:eastAsia="Lucida Sans Unicode"/>
                <w:bCs/>
                <w:sz w:val="22"/>
                <w:szCs w:val="22"/>
                <w:lang w:bidi="ru-RU"/>
              </w:rPr>
            </w:pPr>
            <w:r>
              <w:rPr>
                <w:rFonts w:eastAsia="Lucida Sans Unicode"/>
                <w:bCs/>
                <w:sz w:val="22"/>
                <w:szCs w:val="22"/>
                <w:lang w:bidi="ru-RU"/>
              </w:rPr>
            </w:r>
          </w:p>
        </w:tc>
      </w:tr>
    </w:tbl>
    <w:p>
      <w:pPr>
        <w:pStyle w:val="Normal"/>
        <w:widowControl/>
        <w:ind w:right="-1" w:firstLine="709"/>
        <w:rPr>
          <w:color w:val="000000" w:themeColor="text1"/>
          <w:highlight w:val="yellow"/>
        </w:rPr>
      </w:pPr>
      <w:r>
        <w:rPr>
          <w:color w:val="000000" w:themeColor="text1"/>
          <w:highlight w:val="yellow"/>
        </w:rPr>
      </w:r>
    </w:p>
    <w:p>
      <w:pPr>
        <w:pStyle w:val="Normal"/>
        <w:widowControl/>
        <w:ind w:right="-1" w:hanging="0"/>
        <w:rPr>
          <w:color w:val="000000" w:themeColor="text1"/>
        </w:rPr>
      </w:pPr>
      <w:r>
        <w:rPr>
          <w:color w:val="000000" w:themeColor="text1"/>
        </w:rPr>
        <w:t>- инженерно-геологические изыскания по объекту: «Многоквартирные многоэтажные  жилые дома со встроенно-пристроенными помещениями делового, культурного и обслуживающего назначения по ул. Юбилейной в Автозаводском районе г. Тольятти. Жилой дом  поз.4» (Арх.№2124).</w:t>
      </w:r>
    </w:p>
    <w:p>
      <w:pPr>
        <w:pStyle w:val="Normal"/>
        <w:widowControl/>
        <w:ind w:right="-1" w:hanging="0"/>
        <w:rPr>
          <w:rFonts w:eastAsia="Times New Roman"/>
          <w:color w:val="000000" w:themeColor="text1"/>
        </w:rPr>
      </w:pPr>
      <w:r>
        <w:rPr>
          <w:rFonts w:eastAsia="Times New Roman"/>
          <w:color w:val="000000" w:themeColor="text1"/>
        </w:rPr>
      </w:r>
    </w:p>
    <w:p>
      <w:pPr>
        <w:pStyle w:val="Normal"/>
        <w:ind w:right="-1" w:hanging="0"/>
        <w:rPr>
          <w:color w:val="000000" w:themeColor="text1"/>
        </w:rPr>
      </w:pPr>
      <w:r>
        <w:rPr>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1.3. Идентификационные сведения об объекте капитального строительства:</w:t>
      </w:r>
    </w:p>
    <w:p>
      <w:pPr>
        <w:pStyle w:val="Normal"/>
        <w:widowControl/>
        <w:ind w:right="-1" w:hanging="0"/>
        <w:rPr>
          <w:b/>
          <w:b/>
          <w:color w:val="000000" w:themeColor="text1"/>
        </w:rPr>
      </w:pPr>
      <w:r>
        <w:rPr>
          <w:b/>
          <w:color w:val="000000" w:themeColor="text1"/>
        </w:rPr>
      </w:r>
    </w:p>
    <w:p>
      <w:pPr>
        <w:pStyle w:val="Normal"/>
        <w:widowControl/>
        <w:ind w:right="-1" w:hanging="0"/>
        <w:rPr>
          <w:color w:val="000000" w:themeColor="text1"/>
        </w:rPr>
      </w:pPr>
      <w:r>
        <w:rPr>
          <w:b/>
          <w:bCs/>
          <w:color w:val="000000" w:themeColor="text1"/>
        </w:rPr>
        <w:t>1.3.1. Наименование объекта:</w:t>
      </w:r>
      <w:r>
        <w:rPr>
          <w:bCs/>
          <w:color w:val="000000" w:themeColor="text1"/>
        </w:rPr>
        <w:t xml:space="preserve"> </w:t>
      </w:r>
      <w:r>
        <w:rPr>
          <w:color w:val="000000" w:themeColor="text1"/>
        </w:rPr>
        <w:t>«Многоквартирные многоэтажные  жилые дома со встроенно-пристроенными помещениями делового, культурного и обслуживающего назначения по ул. Юбилейной в Автозаводском районе г. Тольятти. Позиция 4. 1 этап строительства, 2 этап строительства».</w:t>
      </w:r>
    </w:p>
    <w:p>
      <w:pPr>
        <w:pStyle w:val="Normal"/>
        <w:widowControl/>
        <w:ind w:right="-1" w:hanging="0"/>
        <w:rPr>
          <w:color w:val="000000" w:themeColor="text1"/>
        </w:rPr>
      </w:pPr>
      <w:r>
        <w:rPr>
          <w:color w:val="000000" w:themeColor="text1"/>
        </w:rPr>
      </w:r>
    </w:p>
    <w:p>
      <w:pPr>
        <w:pStyle w:val="Normal"/>
        <w:widowControl/>
        <w:ind w:right="-1" w:hanging="0"/>
        <w:rPr>
          <w:rFonts w:eastAsia="Times New Roman"/>
          <w:bCs/>
          <w:color w:val="000000" w:themeColor="text1"/>
        </w:rPr>
      </w:pPr>
      <w:r>
        <w:rPr>
          <w:rFonts w:eastAsia="Times New Roman"/>
          <w:b/>
          <w:color w:val="000000" w:themeColor="text1"/>
        </w:rPr>
        <w:t>1.3.2. Месторасположение объекта:</w:t>
      </w:r>
      <w:r>
        <w:rPr>
          <w:rFonts w:eastAsia="Times New Roman"/>
          <w:color w:val="000000" w:themeColor="text1"/>
        </w:rPr>
        <w:t xml:space="preserve"> </w:t>
      </w:r>
      <w:r>
        <w:rPr>
          <w:color w:val="000000" w:themeColor="text1"/>
        </w:rPr>
        <w:t>Самарская область, г. Тольятти, ул. Юбилейная.</w:t>
      </w:r>
    </w:p>
    <w:p>
      <w:pPr>
        <w:pStyle w:val="Normal"/>
        <w:widowControl/>
        <w:ind w:right="-1" w:hanging="0"/>
        <w:rPr>
          <w:color w:val="000000" w:themeColor="text1"/>
          <w:highlight w:val="yellow"/>
        </w:rPr>
      </w:pPr>
      <w:r>
        <w:rPr>
          <w:color w:val="000000" w:themeColor="text1"/>
          <w:highlight w:val="yellow"/>
        </w:rPr>
      </w:r>
    </w:p>
    <w:p>
      <w:pPr>
        <w:pStyle w:val="Normal"/>
        <w:widowControl/>
        <w:ind w:right="-1" w:hanging="0"/>
        <w:rPr>
          <w:color w:val="000000" w:themeColor="text1"/>
          <w:highlight w:val="yellow"/>
        </w:rPr>
      </w:pPr>
      <w:r>
        <w:rPr>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1.3.3. Технико-экономические показатели объекта капитального строительства:</w:t>
      </w:r>
    </w:p>
    <w:p>
      <w:pPr>
        <w:pStyle w:val="Normal"/>
        <w:widowControl/>
        <w:ind w:right="-1" w:hanging="0"/>
        <w:rPr>
          <w:rFonts w:eastAsia="Times New Roman"/>
          <w:b/>
          <w:b/>
          <w:color w:val="000000" w:themeColor="text1"/>
        </w:rPr>
      </w:pPr>
      <w:r>
        <w:rPr>
          <w:rFonts w:eastAsia="Times New Roman"/>
          <w:b/>
          <w:color w:val="000000" w:themeColor="text1"/>
        </w:rPr>
      </w:r>
    </w:p>
    <w:p>
      <w:pPr>
        <w:pStyle w:val="Normal"/>
        <w:widowControl/>
        <w:ind w:left="-567" w:right="141" w:hanging="0"/>
        <w:rPr>
          <w:rFonts w:eastAsia="Times New Roman"/>
          <w:b/>
          <w:b/>
          <w:color w:val="000000" w:themeColor="text1"/>
        </w:rPr>
      </w:pPr>
      <w:r>
        <w:rPr>
          <w:rFonts w:eastAsia="Times New Roman"/>
          <w:b/>
          <w:color w:val="000000" w:themeColor="text1"/>
        </w:rPr>
      </w:r>
    </w:p>
    <w:tbl>
      <w:tblPr>
        <w:tblW w:w="10031"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0" w:lastRow="0" w:firstColumn="1" w:lastColumn="0" w:noHBand="0" w:val="00a0"/>
      </w:tblPr>
      <w:tblGrid>
        <w:gridCol w:w="5093"/>
        <w:gridCol w:w="1189"/>
        <w:gridCol w:w="1116"/>
        <w:gridCol w:w="1397"/>
        <w:gridCol w:w="1"/>
        <w:gridCol w:w="1235"/>
      </w:tblGrid>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Наименование</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Ед. изм.</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1 этап</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lang w:eastAsia="ar-SA"/>
              </w:rPr>
            </w:pPr>
            <w:r>
              <w:rPr>
                <w:lang w:eastAsia="ar-SA"/>
              </w:rPr>
              <w:t>2 этап</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lang w:eastAsia="ar-SA"/>
              </w:rPr>
            </w:pPr>
            <w:r>
              <w:rPr>
                <w:lang w:eastAsia="ar-SA"/>
              </w:rPr>
              <w:t>Всего</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Площадь участка в границах землеотвода</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м</w:t>
            </w:r>
            <w:r>
              <w:rPr>
                <w:vertAlign w:val="superscript"/>
                <w:lang w:eastAsia="ar-SA"/>
              </w:rPr>
              <w:t>2</w:t>
            </w:r>
          </w:p>
        </w:tc>
        <w:tc>
          <w:tcPr>
            <w:tcW w:w="2513"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13895</w:t>
            </w:r>
          </w:p>
        </w:tc>
        <w:tc>
          <w:tcPr>
            <w:tcW w:w="1236"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13895</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lang w:eastAsia="ar-SA"/>
              </w:rPr>
            </w:pPr>
            <w:r>
              <w:rPr>
                <w:lang w:eastAsia="ar-SA"/>
              </w:rPr>
              <w:t>В т.ч. площадь земельного участка по этапам</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vertAlign w:val="superscript"/>
                <w:lang w:eastAsia="ar-SA"/>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7430</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6465</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13895</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Площадь застройки</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2008</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2133,63</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4141,63</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Общая площадь здания</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14982,15</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16303,13</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31285,28</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Общая жилая площадь (при наличии)</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11395,28</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9995,49</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21390,77</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lang w:eastAsia="ar-SA"/>
              </w:rPr>
            </w:pPr>
            <w:r>
              <w:rPr>
                <w:lang w:eastAsia="ar-SA"/>
              </w:rPr>
              <w:t>Нежилая площадь:</w:t>
            </w:r>
          </w:p>
          <w:p>
            <w:pPr>
              <w:pStyle w:val="Normal"/>
              <w:suppressAutoHyphens w:val="true"/>
              <w:ind w:hanging="0"/>
              <w:rPr>
                <w:lang w:eastAsia="ar-SA"/>
              </w:rPr>
            </w:pPr>
            <w:r>
              <w:rPr>
                <w:lang w:eastAsia="ar-SA"/>
              </w:rPr>
              <w:t>встроенно-пристроенных нежилых помещений</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lang w:eastAsia="ar-SA"/>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2009,01</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2009,01</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lang w:eastAsia="ar-SA"/>
              </w:rPr>
            </w:pPr>
            <w:r>
              <w:rPr>
                <w:lang w:eastAsia="ar-SA"/>
              </w:rPr>
              <w:t>Строительный объем, в т.ч.</w:t>
            </w:r>
          </w:p>
          <w:p>
            <w:pPr>
              <w:pStyle w:val="Normal"/>
              <w:suppressAutoHyphens w:val="true"/>
              <w:ind w:hanging="0"/>
              <w:rPr/>
            </w:pPr>
            <w:r>
              <w:rPr>
                <w:lang w:eastAsia="ar-SA"/>
              </w:rPr>
              <w:t>подземной части</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vertAlign w:val="superscript"/>
              </w:rPr>
            </w:pPr>
            <w:r>
              <w:rPr>
                <w:lang w:eastAsia="ar-SA"/>
              </w:rPr>
              <w:t>м</w:t>
            </w:r>
            <w:r>
              <w:rPr>
                <w:vertAlign w:val="superscript"/>
                <w:lang w:eastAsia="ar-SA"/>
              </w:rPr>
              <w:t>3</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58702</w:t>
            </w:r>
          </w:p>
          <w:p>
            <w:pPr>
              <w:pStyle w:val="Normal"/>
              <w:suppressAutoHyphens w:val="true"/>
              <w:ind w:hanging="0"/>
              <w:jc w:val="center"/>
              <w:rPr/>
            </w:pPr>
            <w:r>
              <w:rPr/>
              <w:t>4132</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48318,19</w:t>
            </w:r>
          </w:p>
          <w:p>
            <w:pPr>
              <w:pStyle w:val="Normal"/>
              <w:suppressAutoHyphens w:val="true"/>
              <w:ind w:hanging="0"/>
              <w:jc w:val="center"/>
              <w:rPr/>
            </w:pPr>
            <w:r>
              <w:rPr/>
              <w:t>5655,65</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107020,19</w:t>
            </w:r>
          </w:p>
          <w:p>
            <w:pPr>
              <w:pStyle w:val="Normal"/>
              <w:suppressAutoHyphens w:val="true"/>
              <w:ind w:hanging="0"/>
              <w:jc w:val="center"/>
              <w:rPr/>
            </w:pPr>
            <w:r>
              <w:rPr/>
              <w:t>9787,65</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Кол-во этажей</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этаж</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10</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 xml:space="preserve">10-17-жилые, </w:t>
            </w:r>
          </w:p>
          <w:p>
            <w:pPr>
              <w:pStyle w:val="Normal"/>
              <w:suppressAutoHyphens w:val="true"/>
              <w:ind w:hanging="0"/>
              <w:jc w:val="center"/>
              <w:rPr/>
            </w:pPr>
            <w:r>
              <w:rPr/>
              <w:t>3-нежилое</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r>
          </w:p>
          <w:p>
            <w:pPr>
              <w:pStyle w:val="Normal"/>
              <w:suppressAutoHyphens w:val="true"/>
              <w:ind w:hanging="0"/>
              <w:jc w:val="center"/>
              <w:rPr/>
            </w:pPr>
            <w:r>
              <w:rPr/>
              <w:t>х</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Кол-во квартир (при наличии)</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188</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164</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352</w:t>
            </w:r>
          </w:p>
        </w:tc>
      </w:tr>
    </w:tbl>
    <w:p>
      <w:pPr>
        <w:pStyle w:val="Normal"/>
        <w:widowControl/>
        <w:ind w:right="-1" w:firstLine="567"/>
        <w:rPr>
          <w:rFonts w:eastAsia="Times New Roman"/>
          <w:color w:val="000000" w:themeColor="text1"/>
        </w:rPr>
      </w:pPr>
      <w:r>
        <w:rPr>
          <w:rFonts w:eastAsia="Times New Roman"/>
          <w:color w:val="000000" w:themeColor="text1"/>
        </w:rPr>
      </w:r>
    </w:p>
    <w:p>
      <w:pPr>
        <w:pStyle w:val="Normal"/>
        <w:widowControl/>
        <w:ind w:right="-1" w:firstLine="567"/>
        <w:rPr>
          <w:rFonts w:eastAsia="Times New Roman"/>
          <w:b/>
          <w:b/>
          <w:color w:val="000000" w:themeColor="text1"/>
          <w:highlight w:val="yellow"/>
        </w:rPr>
      </w:pPr>
      <w:r>
        <w:rPr>
          <w:rFonts w:eastAsia="Times New Roman"/>
          <w:b/>
          <w:color w:val="000000" w:themeColor="text1"/>
          <w:highlight w:val="yellow"/>
        </w:rPr>
      </w:r>
    </w:p>
    <w:p>
      <w:pPr>
        <w:pStyle w:val="Normal"/>
        <w:widowControl/>
        <w:ind w:right="-1" w:firstLine="567"/>
        <w:rPr>
          <w:rFonts w:eastAsia="Times New Roman"/>
          <w:b/>
          <w:b/>
          <w:color w:val="000000" w:themeColor="text1"/>
        </w:rPr>
      </w:pPr>
      <w:r>
        <w:rPr>
          <w:rFonts w:eastAsia="Times New Roman"/>
          <w:b/>
          <w:color w:val="000000" w:themeColor="text1"/>
        </w:rPr>
        <w:t>1.4. Вид, функциональное назначение и характерные особенности объекта капитального строительства.</w:t>
      </w:r>
    </w:p>
    <w:p>
      <w:pPr>
        <w:pStyle w:val="Normal"/>
        <w:widowControl/>
        <w:ind w:right="-1" w:firstLine="567"/>
        <w:rPr>
          <w:rFonts w:eastAsia="Times New Roman"/>
          <w:b/>
          <w:b/>
          <w:color w:val="000000" w:themeColor="text1"/>
        </w:rPr>
      </w:pPr>
      <w:r>
        <w:rPr>
          <w:rFonts w:eastAsia="Times New Roman"/>
          <w:b/>
          <w:color w:val="000000" w:themeColor="text1"/>
        </w:rPr>
      </w:r>
    </w:p>
    <w:p>
      <w:pPr>
        <w:pStyle w:val="Normal"/>
        <w:widowControl/>
        <w:ind w:right="-1" w:firstLine="567"/>
        <w:rPr/>
      </w:pPr>
      <w:r>
        <w:rPr/>
        <w:t xml:space="preserve">Данный объект представляет собой многоквартирный жилой дом со встроенно- пристроенными помещениями делового, культурного и обслуживающего назначения. </w:t>
      </w:r>
    </w:p>
    <w:p>
      <w:pPr>
        <w:pStyle w:val="Normal"/>
        <w:widowControl/>
        <w:ind w:right="-1" w:firstLine="709"/>
        <w:rPr/>
      </w:pPr>
      <w:r>
        <w:rPr/>
        <w:t xml:space="preserve">Жилой дом состоит из семи типовых 10-ти этажных  ( включая технический чердак ) блок-секций и одной типовой 17-ти этажной ( включая технический чердак ) блок-секции с нижним техническим этажом для прокладки инженерных коммуникаций (подвалом). К жилому дому примыкает 3-х этажное здание, выполненное в монолитных конструкциях, в котором размещены нежилые помещения (офисы). Пять сблокированных 10-ти этажных секций и 17-ти этажная секция соединены 3-х этажным зданием с нежилыми помещениями (офисы), выполненным в монолитных конструкциях. </w:t>
      </w:r>
    </w:p>
    <w:p>
      <w:pPr>
        <w:pStyle w:val="Normal"/>
        <w:widowControl/>
        <w:ind w:right="-1" w:firstLine="709"/>
        <w:rPr/>
      </w:pPr>
      <w:r>
        <w:rPr/>
        <w:t xml:space="preserve">Строительство объекта запроектировано в два этапа: </w:t>
      </w:r>
    </w:p>
    <w:p>
      <w:pPr>
        <w:pStyle w:val="Normal"/>
        <w:widowControl/>
        <w:ind w:right="-1" w:firstLine="709"/>
        <w:rPr/>
      </w:pPr>
      <w:r>
        <w:rPr/>
        <w:t xml:space="preserve">1 этап — пять сблокированных 10-ти этажных (включая технический чердак) блок-секции — 1, 2, 3, 4, 5 секции; В здании расположены одно, двух и трех комнатные квартиры с 1-ого по 9-й этаж. В подвале находятся ИТП, две электрощитовые, насосная с водомерным узлом. </w:t>
      </w:r>
    </w:p>
    <w:p>
      <w:pPr>
        <w:pStyle w:val="Normal"/>
        <w:widowControl/>
        <w:ind w:right="-1" w:firstLine="709"/>
        <w:rPr/>
      </w:pPr>
      <w:r>
        <w:rPr/>
        <w:t xml:space="preserve">2 этап - две 10-ти этажные (включая технический чердак) блок-секции — 6-я и 7-я и одна 17-ти этажная (включая технический чердак)блок-секции — 8-я, сблокированные между собой и соединенные с 1-й секцией 3-х этажным зданием с нежилыми помещениями (офисами). В 6-ой и 7-ой секции расположены одно, двух и трех комнатные квартиры с 1-ого по 9-й этаж. В 8-ой секции на первом этаже расположены офисные помещения, со 2-ого по 16-й этаж — одно, двух и трех комнатные квартиры. В здании с нежилыми помещениями (офисами) находятся свободные площади, а также сан.узлы и КУИ. </w:t>
      </w:r>
    </w:p>
    <w:p>
      <w:pPr>
        <w:pStyle w:val="Normal"/>
        <w:widowControl/>
        <w:ind w:right="-1" w:firstLine="709"/>
        <w:rPr/>
      </w:pPr>
      <w:r>
        <w:rPr/>
        <w:t>10-ти этажные (включая технический чердак) секции жилого дома — повторного применения, крупнопанельные, в конструкциях серии 1.090.1-1/88 (завод-изготовитель - ЗАО «Тольяттинский завод ЖБИ( ТзЖБИ)» г.Тольятти). Документом, подтверждающим соответствие указанной типовой документации климатическим, гидрогеологическим и иным условиям, в которых она подлежит применению повторно, является прилагаемый «Сертификат соответствия «Система сертификации ГОСТ Р Госстандарт России» № РОСС RU.CP48.C00227 от 02.10.2015 г. и ниже перечисленные положительные заключения экспертизы:</w:t>
      </w:r>
    </w:p>
    <w:p>
      <w:pPr>
        <w:pStyle w:val="Normal"/>
        <w:widowControl/>
        <w:ind w:right="-1" w:firstLine="709"/>
        <w:rPr/>
      </w:pPr>
      <w:r>
        <w:rPr/>
        <w:t xml:space="preserve"> </w:t>
      </w:r>
      <w:r>
        <w:rPr/>
        <w:t xml:space="preserve">1. Положительное заключение государственной экспертизы № 63-1-4-0144-08 от 26 мая 2008г., объект капитального строительства: «Комплекс жилых домов с нежилыми помещениями и объектами торговли и соцкультбыта восточнее здания №39 по ул.40 лет Победы в Автозаводском районе г. Тольятти». (поз.1, поз.2); </w:t>
      </w:r>
    </w:p>
    <w:p>
      <w:pPr>
        <w:pStyle w:val="Normal"/>
        <w:widowControl/>
        <w:ind w:right="-1" w:firstLine="709"/>
        <w:rPr/>
      </w:pPr>
      <w:r>
        <w:rPr/>
        <w:t xml:space="preserve">2. Положительное заключение государственной экспертизы № 63-1-4-0185-11 от 3 мая 2011г., объект капитального строительства: «Комплекс жилых домов с нежилыми помещениями и объектами торговли и соцкультбыта восточнее здания по ул.40 лет Победы, 39 в Автозаводском районе г. Тольятти. Жилой дом поз.4»; </w:t>
      </w:r>
    </w:p>
    <w:p>
      <w:pPr>
        <w:pStyle w:val="Normal"/>
        <w:widowControl/>
        <w:ind w:right="-1" w:firstLine="709"/>
        <w:rPr/>
      </w:pPr>
      <w:r>
        <w:rPr/>
        <w:t xml:space="preserve">3. Положительное заключение государственной экспертизы № 63-1-4-0187-12 от 3 мая 2012г., объект капитального строительства: «Комплекс жилых домов с нежилыми помещениями и объектами торговли и соцкультбыта восточнее здания по ул.40 лет Победы, 39 в Автозаводском районе г. Тольятти. Жилой дом поз.3»; </w:t>
      </w:r>
    </w:p>
    <w:p>
      <w:pPr>
        <w:pStyle w:val="Normal"/>
        <w:widowControl/>
        <w:ind w:right="-1" w:firstLine="709"/>
        <w:rPr/>
      </w:pPr>
      <w:r>
        <w:rPr/>
        <w:t xml:space="preserve">4. Положительное заключение государственной экспертизы № 63-1-4-0306-13 от 24 июня 2013г., объект капитального строительства: «Комплекс жилых домов с нежилыми помещениями и объектами торговли и соцкультбыта восточнее здания по ул.40 лет Победы, 39 в Автозаводском районе г. Тольятти. Жилой дом поз.6». </w:t>
      </w:r>
    </w:p>
    <w:p>
      <w:pPr>
        <w:pStyle w:val="Normal"/>
        <w:widowControl/>
        <w:ind w:right="-1" w:firstLine="709"/>
        <w:rPr/>
      </w:pPr>
      <w:r>
        <w:rPr/>
        <w:t xml:space="preserve">5. Положительное заключение негосударственной экспертизы - №4-1-1-0028-15 от 26.02.2015г. Объект капитального строительства: «Многоквартирные многоэтажные жилые дома со встроенно-пристроенными помещениями делового, культурного и обслуживающего назначения по ул. Юбилейной в Автозаводском районе г. Тольятти. Жилой дом поз.1». </w:t>
      </w:r>
    </w:p>
    <w:p>
      <w:pPr>
        <w:pStyle w:val="Normal"/>
        <w:widowControl/>
        <w:ind w:right="-1" w:firstLine="709"/>
        <w:rPr/>
      </w:pPr>
      <w:r>
        <w:rPr/>
        <w:t xml:space="preserve">6. Положительное заключение негосударственной экспертизы №76-2-1-3-0033-16 от 6 мая 2016 г. Объект капитального строительства: «Многоквартирные многоэтажные жилые дома со встроенно-пристроенными помещениями делового, культурного и обслуживающего назначения по ул. Юбилейной в Автозаводском районе г.Тольятти. Жилой дом поз.3»  ООО «Ярстройэкспертиза» г. Ярославль. </w:t>
      </w:r>
    </w:p>
    <w:p>
      <w:pPr>
        <w:pStyle w:val="Normal"/>
        <w:widowControl/>
        <w:ind w:right="-1" w:firstLine="709"/>
        <w:rPr/>
      </w:pPr>
      <w:r>
        <w:rPr/>
        <w:t xml:space="preserve">Угловая 17-ти этажная (включая технический чердак) секция разработана на базе типовой секции, выполненной ООО «Соцкультбытпроект» г.Тольятти (сертификат № РОСС RU СР48.С00232 от 16.05.2016 г. с приложением №0711718). Указанная секция была разработана для объекта «Комплекс многоквартирных многоэтажных домов с встроенно-пристроенными помещениями», II и III этапы строительства, поз.1 (Заказчик: ООО « ПАТРИОТ» г. Тольятти, Автозаводский район в юго-восточной части кадастрового квартала 63:09:0103035) и получила положительное заключение экспертизы: -№2-1-1-0064-14 от 24 апреля 2014г; -№2-1-1 0245-14 от 29 октября 2014г. Указанная секция была применена для объекта « Многоквартирные многоэтажные жилые дома со встроенно-пристроенными помещениями делового, культурного и обслуживающего назначения. Жилой дом поз.2». (Заказчик ООО « СК СТРОНЖ» г.Тольятти, Автозаводский район, ул. Юбилейная и получила положительное заключение негосударственной экспертизы№76-1-2-0077-15 от 14 мая 2015 г. ООО «Верхне-Волжский Институт Строительной Экспертизы Консалтинга» г. Ярославль. </w:t>
      </w:r>
    </w:p>
    <w:p>
      <w:pPr>
        <w:pStyle w:val="Normal"/>
        <w:widowControl/>
        <w:ind w:right="-1" w:firstLine="709"/>
        <w:rPr/>
      </w:pPr>
      <w:r>
        <w:rPr/>
        <w:t>Документом, подтверждающим право застройщика на использование типовой проектной документации, является прилагаемое «Разрешение от ЗАО «ТзЖБИ» на использование типовой документации».</w:t>
      </w:r>
    </w:p>
    <w:p>
      <w:pPr>
        <w:pStyle w:val="Normal"/>
        <w:widowControl/>
        <w:ind w:right="-1" w:hanging="0"/>
        <w:rPr>
          <w:rFonts w:eastAsia="Times New Roman"/>
          <w:b/>
          <w:b/>
          <w:color w:val="000000" w:themeColor="text1"/>
        </w:rPr>
      </w:pPr>
      <w:r>
        <w:rPr>
          <w:rFonts w:eastAsia="Times New Roman"/>
          <w:b/>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lang w:val="en-US"/>
        </w:rPr>
        <w:t>I</w:t>
      </w:r>
      <w:r>
        <w:rPr>
          <w:rFonts w:eastAsia="Times New Roman"/>
          <w:b/>
          <w:color w:val="000000" w:themeColor="text1"/>
        </w:rPr>
        <w:t xml:space="preserve"> этап</w:t>
      </w:r>
    </w:p>
    <w:p>
      <w:pPr>
        <w:pStyle w:val="Textbody"/>
        <w:spacing w:before="0" w:after="0"/>
        <w:ind w:left="0" w:right="-1" w:hanging="0"/>
        <w:rPr>
          <w:rFonts w:ascii="Times New Roman" w:hAnsi="Times New Roman" w:cs="Times New Roman"/>
        </w:rPr>
      </w:pPr>
      <w:r>
        <w:rPr>
          <w:rFonts w:cs="Times New Roman" w:ascii="Times New Roman" w:hAnsi="Times New Roman"/>
        </w:rPr>
        <w:t xml:space="preserve">Уровень ответственности здания — </w:t>
      </w:r>
      <w:r>
        <w:rPr>
          <w:rFonts w:cs="Times New Roman" w:ascii="Times New Roman" w:hAnsi="Times New Roman"/>
          <w:lang w:val="en-US"/>
        </w:rPr>
        <w:t>II</w:t>
      </w:r>
      <w:r>
        <w:rPr>
          <w:rFonts w:cs="Times New Roman" w:ascii="Times New Roman" w:hAnsi="Times New Roman"/>
        </w:rPr>
        <w:t>;</w:t>
      </w:r>
    </w:p>
    <w:p>
      <w:pPr>
        <w:pStyle w:val="Textbody"/>
        <w:spacing w:before="0" w:after="0"/>
        <w:ind w:left="0" w:right="-1" w:hanging="0"/>
        <w:rPr>
          <w:rFonts w:ascii="Times New Roman" w:hAnsi="Times New Roman" w:cs="Times New Roman"/>
        </w:rPr>
      </w:pPr>
      <w:r>
        <w:rPr>
          <w:rFonts w:cs="Times New Roman" w:ascii="Times New Roman" w:hAnsi="Times New Roman"/>
        </w:rPr>
        <w:t xml:space="preserve">Степень огнестойкости здания — </w:t>
      </w:r>
      <w:r>
        <w:rPr>
          <w:rFonts w:cs="Times New Roman" w:ascii="Times New Roman" w:hAnsi="Times New Roman"/>
          <w:lang w:val="en-US"/>
        </w:rPr>
        <w:t>II</w:t>
      </w:r>
      <w:r>
        <w:rPr>
          <w:rFonts w:cs="Times New Roman" w:ascii="Times New Roman" w:hAnsi="Times New Roman"/>
        </w:rPr>
        <w:t>;</w:t>
      </w:r>
    </w:p>
    <w:p>
      <w:pPr>
        <w:pStyle w:val="Textbody"/>
        <w:spacing w:before="0" w:after="0"/>
        <w:ind w:left="0" w:right="-1" w:hanging="0"/>
        <w:rPr>
          <w:rFonts w:ascii="Times New Roman" w:hAnsi="Times New Roman" w:cs="Times New Roman"/>
        </w:rPr>
      </w:pPr>
      <w:r>
        <w:rPr>
          <w:rFonts w:cs="Times New Roman" w:ascii="Times New Roman" w:hAnsi="Times New Roman"/>
        </w:rPr>
        <w:t>Класс функциональной пожарной опасности здания — Ф1.3;</w:t>
      </w:r>
    </w:p>
    <w:p>
      <w:pPr>
        <w:pStyle w:val="Textbody"/>
        <w:spacing w:before="0" w:after="0"/>
        <w:ind w:left="0" w:right="-1" w:hanging="0"/>
        <w:rPr>
          <w:rFonts w:ascii="Times New Roman" w:hAnsi="Times New Roman" w:cs="Times New Roman"/>
        </w:rPr>
      </w:pPr>
      <w:r>
        <w:rPr>
          <w:rFonts w:cs="Times New Roman" w:ascii="Times New Roman" w:hAnsi="Times New Roman"/>
        </w:rPr>
        <w:t>Класс конструктивной пожарной опасности здания — С1;</w:t>
      </w:r>
    </w:p>
    <w:p>
      <w:pPr>
        <w:pStyle w:val="Textbody"/>
        <w:spacing w:before="0" w:after="0"/>
        <w:ind w:left="0" w:right="-1" w:hanging="0"/>
        <w:rPr>
          <w:rFonts w:ascii="Times New Roman" w:hAnsi="Times New Roman" w:cs="Times New Roman"/>
        </w:rPr>
      </w:pPr>
      <w:r>
        <w:rPr>
          <w:rFonts w:cs="Times New Roman" w:ascii="Times New Roman" w:hAnsi="Times New Roman"/>
        </w:rPr>
        <w:t>Класс пожарной опасности строительных конструкций — К0;</w:t>
      </w:r>
    </w:p>
    <w:p>
      <w:pPr>
        <w:pStyle w:val="Textbody"/>
        <w:spacing w:before="0" w:after="0"/>
        <w:ind w:left="0" w:right="-1" w:hanging="0"/>
        <w:rPr>
          <w:rFonts w:ascii="Times New Roman" w:hAnsi="Times New Roman" w:cs="Times New Roman"/>
        </w:rPr>
      </w:pPr>
      <w:r>
        <w:rPr>
          <w:rFonts w:cs="Times New Roman" w:ascii="Times New Roman" w:hAnsi="Times New Roman"/>
        </w:rPr>
        <w:t>Класс пожарной опасности строительных материалов — КМ1.</w:t>
      </w:r>
    </w:p>
    <w:p>
      <w:pPr>
        <w:pStyle w:val="Textbody"/>
        <w:spacing w:before="0" w:after="0"/>
        <w:ind w:left="0" w:right="-1" w:hanging="0"/>
        <w:rPr>
          <w:rFonts w:ascii="Times New Roman" w:hAnsi="Times New Roman" w:cs="Times New Roman"/>
        </w:rPr>
      </w:pPr>
      <w:r>
        <w:rPr>
          <w:rFonts w:cs="Times New Roman" w:ascii="Times New Roman" w:hAnsi="Times New Roman"/>
        </w:rPr>
      </w:r>
    </w:p>
    <w:p>
      <w:pPr>
        <w:pStyle w:val="Textbody"/>
        <w:spacing w:before="0" w:after="0"/>
        <w:ind w:left="0" w:right="-1" w:hanging="0"/>
        <w:rPr>
          <w:rFonts w:ascii="Times New Roman" w:hAnsi="Times New Roman" w:cs="Times New Roman"/>
          <w:b/>
          <w:b/>
        </w:rPr>
      </w:pPr>
      <w:r>
        <w:rPr>
          <w:rFonts w:cs="Times New Roman" w:ascii="Times New Roman" w:hAnsi="Times New Roman"/>
          <w:b/>
          <w:lang w:val="en-US"/>
        </w:rPr>
        <w:t>II</w:t>
      </w:r>
      <w:r>
        <w:rPr>
          <w:rFonts w:cs="Times New Roman" w:ascii="Times New Roman" w:hAnsi="Times New Roman"/>
          <w:b/>
        </w:rPr>
        <w:t xml:space="preserve"> этап</w:t>
      </w:r>
    </w:p>
    <w:p>
      <w:pPr>
        <w:pStyle w:val="Textbody"/>
        <w:spacing w:before="0" w:after="0"/>
        <w:ind w:left="0" w:right="-1" w:hanging="0"/>
        <w:jc w:val="both"/>
        <w:rPr>
          <w:rFonts w:ascii="Times New Roman" w:hAnsi="Times New Roman" w:cs="Times New Roman"/>
        </w:rPr>
      </w:pPr>
      <w:r>
        <w:rPr>
          <w:rFonts w:cs="Times New Roman" w:ascii="Times New Roman" w:hAnsi="Times New Roman"/>
        </w:rPr>
        <w:t xml:space="preserve">Уровень ответственности здания — </w:t>
      </w:r>
      <w:r>
        <w:rPr>
          <w:rFonts w:cs="Times New Roman" w:ascii="Times New Roman" w:hAnsi="Times New Roman"/>
          <w:lang w:val="en-US"/>
        </w:rPr>
        <w:t>II</w:t>
      </w:r>
      <w:r>
        <w:rPr>
          <w:rFonts w:cs="Times New Roman" w:ascii="Times New Roman" w:hAnsi="Times New Roman"/>
        </w:rPr>
        <w:t>;</w:t>
      </w:r>
    </w:p>
    <w:p>
      <w:pPr>
        <w:pStyle w:val="Textbody"/>
        <w:spacing w:before="0" w:after="0"/>
        <w:ind w:left="0" w:right="-1" w:hanging="0"/>
        <w:jc w:val="both"/>
        <w:rPr>
          <w:rFonts w:ascii="Times New Roman" w:hAnsi="Times New Roman" w:cs="Times New Roman"/>
        </w:rPr>
      </w:pPr>
      <w:r>
        <w:rPr>
          <w:rFonts w:cs="Times New Roman" w:ascii="Times New Roman" w:hAnsi="Times New Roman"/>
        </w:rPr>
        <w:t xml:space="preserve">Степень огнестойкости здания — </w:t>
      </w:r>
      <w:r>
        <w:rPr>
          <w:rFonts w:cs="Times New Roman" w:ascii="Times New Roman" w:hAnsi="Times New Roman"/>
          <w:lang w:val="en-US"/>
        </w:rPr>
        <w:t>II</w:t>
      </w:r>
      <w:r>
        <w:rPr>
          <w:rFonts w:cs="Times New Roman" w:ascii="Times New Roman" w:hAnsi="Times New Roman"/>
        </w:rPr>
        <w:t>;</w:t>
      </w:r>
    </w:p>
    <w:p>
      <w:pPr>
        <w:pStyle w:val="Textbody"/>
        <w:spacing w:before="0" w:after="0"/>
        <w:ind w:left="0" w:right="-1" w:hanging="0"/>
        <w:jc w:val="both"/>
        <w:rPr>
          <w:rFonts w:ascii="Times New Roman" w:hAnsi="Times New Roman" w:cs="Times New Roman"/>
        </w:rPr>
      </w:pPr>
      <w:r>
        <w:rPr>
          <w:rFonts w:cs="Times New Roman" w:ascii="Times New Roman" w:hAnsi="Times New Roman"/>
        </w:rPr>
        <w:t>Класс функциональной пожарной опасности здания — Ф1.3 (жилые секции), Ф4.3 (офисные помещения, нежилые помещения (офисы));</w:t>
      </w:r>
    </w:p>
    <w:p>
      <w:pPr>
        <w:pStyle w:val="Textbody"/>
        <w:spacing w:before="0" w:after="0"/>
        <w:ind w:left="0" w:right="-1" w:hanging="0"/>
        <w:jc w:val="both"/>
        <w:rPr>
          <w:rFonts w:ascii="Times New Roman" w:hAnsi="Times New Roman" w:cs="Times New Roman"/>
        </w:rPr>
      </w:pPr>
      <w:r>
        <w:rPr>
          <w:rFonts w:cs="Times New Roman" w:ascii="Times New Roman" w:hAnsi="Times New Roman"/>
        </w:rPr>
        <w:t>Класс конструктивной пожарной опасности здания — С1 (секции 6,7, здание с нежилыми помещениями (офисы)), СО (секция 8);</w:t>
      </w:r>
    </w:p>
    <w:p>
      <w:pPr>
        <w:pStyle w:val="Textbody"/>
        <w:spacing w:before="0" w:after="0"/>
        <w:ind w:left="0" w:right="-1" w:hanging="0"/>
        <w:jc w:val="both"/>
        <w:rPr>
          <w:rFonts w:ascii="Times New Roman" w:hAnsi="Times New Roman" w:cs="Times New Roman"/>
        </w:rPr>
      </w:pPr>
      <w:r>
        <w:rPr>
          <w:rFonts w:cs="Times New Roman" w:ascii="Times New Roman" w:hAnsi="Times New Roman"/>
        </w:rPr>
        <w:t>Класс пожарной опасности строительных конструкций — К0;</w:t>
      </w:r>
    </w:p>
    <w:p>
      <w:pPr>
        <w:pStyle w:val="Textbody"/>
        <w:spacing w:before="0" w:after="0"/>
        <w:ind w:left="0" w:right="-1" w:hanging="0"/>
        <w:jc w:val="both"/>
        <w:rPr>
          <w:rFonts w:ascii="Times New Roman" w:hAnsi="Times New Roman" w:cs="Times New Roman"/>
        </w:rPr>
      </w:pPr>
      <w:r>
        <w:rPr>
          <w:rFonts w:cs="Times New Roman" w:ascii="Times New Roman" w:hAnsi="Times New Roman"/>
        </w:rPr>
        <w:t>Класс пожарной опасности строительных материалов — КМ1.</w:t>
      </w:r>
    </w:p>
    <w:p>
      <w:pPr>
        <w:pStyle w:val="Textbody"/>
        <w:spacing w:before="0" w:after="0"/>
        <w:ind w:left="0" w:right="-1" w:hanging="0"/>
        <w:rPr>
          <w:color w:val="000000" w:themeColor="text1"/>
          <w:szCs w:val="28"/>
          <w:highlight w:val="yellow"/>
        </w:rPr>
      </w:pPr>
      <w:r>
        <w:rPr>
          <w:color w:val="000000" w:themeColor="text1"/>
          <w:szCs w:val="28"/>
          <w:highlight w:val="yellow"/>
        </w:rPr>
      </w:r>
    </w:p>
    <w:p>
      <w:pPr>
        <w:pStyle w:val="Normal"/>
        <w:spacing w:before="0" w:after="0"/>
        <w:ind w:right="-1" w:firstLine="709"/>
        <w:contextualSpacing/>
        <w:rPr>
          <w:color w:val="000000" w:themeColor="text1"/>
          <w:szCs w:val="28"/>
          <w:highlight w:val="yellow"/>
        </w:rPr>
      </w:pPr>
      <w:r>
        <w:rPr>
          <w:color w:val="000000" w:themeColor="text1"/>
          <w:szCs w:val="28"/>
          <w:highlight w:val="yellow"/>
        </w:rPr>
      </w:r>
    </w:p>
    <w:p>
      <w:pPr>
        <w:pStyle w:val="Normal"/>
        <w:widowControl/>
        <w:ind w:right="-1" w:hanging="0"/>
        <w:rPr>
          <w:rFonts w:eastAsia="Times New Roman"/>
          <w:b/>
          <w:b/>
          <w:color w:val="000000" w:themeColor="text1"/>
        </w:rPr>
      </w:pPr>
      <w:r>
        <w:rPr>
          <w:rFonts w:eastAsia="Times New Roman"/>
          <w:b/>
          <w:color w:val="000000" w:themeColor="text1"/>
        </w:rPr>
        <w:t>1.5. Идентификационные сведения о лицах, осуществивших подготовку проектной документации и (или) выполнивших инженерные изыскания:</w:t>
      </w:r>
    </w:p>
    <w:p>
      <w:pPr>
        <w:pStyle w:val="Normal"/>
        <w:widowControl/>
        <w:ind w:right="-1" w:hanging="0"/>
        <w:rPr>
          <w:rFonts w:eastAsia="Times New Roman"/>
          <w:b/>
          <w:b/>
          <w:color w:val="000000" w:themeColor="text1"/>
        </w:rPr>
      </w:pPr>
      <w:r>
        <w:rPr>
          <w:rFonts w:eastAsia="Times New Roman"/>
          <w:b/>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Проектная документация:</w:t>
      </w:r>
    </w:p>
    <w:p>
      <w:pPr>
        <w:pStyle w:val="Normal"/>
        <w:widowControl/>
        <w:ind w:right="-1" w:hanging="0"/>
        <w:rPr>
          <w:rStyle w:val="FontStyle19"/>
          <w:bCs/>
          <w:color w:val="000000" w:themeColor="text1"/>
        </w:rPr>
      </w:pPr>
      <w:r>
        <w:rPr>
          <w:rFonts w:eastAsia="Times New Roman"/>
          <w:b/>
          <w:color w:val="000000" w:themeColor="text1"/>
        </w:rPr>
        <w:t>Генеральный проектировщик:</w:t>
      </w:r>
      <w:r>
        <w:rPr>
          <w:rFonts w:eastAsia="Times New Roman"/>
          <w:color w:val="000000" w:themeColor="text1"/>
        </w:rPr>
        <w:t xml:space="preserve"> </w:t>
      </w:r>
      <w:r>
        <w:rPr>
          <w:bCs/>
        </w:rPr>
        <w:t>ООО  ПСК «Пятый океан»</w:t>
      </w:r>
    </w:p>
    <w:p>
      <w:pPr>
        <w:pStyle w:val="Normal"/>
        <w:widowControl/>
        <w:ind w:right="-1" w:hanging="0"/>
        <w:rPr>
          <w:rFonts w:eastAsia="Times New Roman"/>
          <w:b/>
          <w:b/>
          <w:color w:val="000000" w:themeColor="text1"/>
        </w:rPr>
      </w:pPr>
      <w:r>
        <w:rPr>
          <w:rStyle w:val="FontStyle19"/>
          <w:bCs/>
          <w:color w:val="000000" w:themeColor="text1"/>
        </w:rPr>
        <w:t xml:space="preserve">Свидетельство о допуске </w:t>
      </w:r>
      <w:r>
        <w:rPr/>
        <w:t xml:space="preserve">№ П-008-6323083439-16052016-167  от </w:t>
      </w:r>
      <w:r>
        <w:rPr>
          <w:color w:val="C00000"/>
        </w:rPr>
        <w:t>16.05.2016</w:t>
      </w:r>
      <w:r>
        <w:rPr/>
        <w:t xml:space="preserve"> года</w:t>
      </w:r>
      <w:r>
        <w:rPr>
          <w:rFonts w:eastAsia="Times New Roman"/>
          <w:b/>
          <w:color w:val="000000" w:themeColor="text1"/>
        </w:rPr>
        <w:t>.</w:t>
      </w:r>
    </w:p>
    <w:p>
      <w:pPr>
        <w:pStyle w:val="Normal"/>
        <w:widowControl/>
        <w:ind w:right="-1" w:hanging="0"/>
        <w:rPr>
          <w:rStyle w:val="FontStyle19"/>
          <w:bCs/>
          <w:color w:val="000000" w:themeColor="text1"/>
        </w:rPr>
      </w:pPr>
      <w:r>
        <w:rPr>
          <w:rFonts w:eastAsia="Times New Roman"/>
          <w:b/>
          <w:color w:val="000000" w:themeColor="text1"/>
        </w:rPr>
        <w:t>Главный инженер проекта:</w:t>
      </w:r>
      <w:r>
        <w:rPr>
          <w:rFonts w:eastAsia="Times New Roman"/>
          <w:color w:val="000000" w:themeColor="text1"/>
        </w:rPr>
        <w:t xml:space="preserve"> </w:t>
      </w:r>
      <w:r>
        <w:rPr>
          <w:rStyle w:val="FontStyle19"/>
          <w:bCs/>
          <w:color w:val="000000" w:themeColor="text1"/>
        </w:rPr>
        <w:t>Васильева И.В.</w:t>
      </w:r>
    </w:p>
    <w:p>
      <w:pPr>
        <w:pStyle w:val="Normal"/>
        <w:widowControl/>
        <w:ind w:right="-1" w:hanging="0"/>
        <w:rPr>
          <w:rStyle w:val="FontStyle19"/>
          <w:bCs/>
          <w:color w:val="000000" w:themeColor="text1"/>
        </w:rPr>
      </w:pPr>
      <w:r>
        <w:rPr>
          <w:bCs/>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Организация, выполнявшая инженерные изыскания:</w:t>
      </w:r>
    </w:p>
    <w:p>
      <w:pPr>
        <w:pStyle w:val="Normal"/>
        <w:widowControl/>
        <w:ind w:right="-1" w:hanging="0"/>
        <w:rPr>
          <w:b/>
          <w:b/>
          <w:bCs/>
        </w:rPr>
      </w:pPr>
      <w:r>
        <w:rPr>
          <w:bCs/>
        </w:rPr>
        <w:t>ООО «Градостроительство</w:t>
      </w:r>
      <w:r>
        <w:rPr>
          <w:b/>
          <w:bCs/>
        </w:rPr>
        <w:t>»</w:t>
      </w:r>
    </w:p>
    <w:p>
      <w:pPr>
        <w:pStyle w:val="Normal"/>
        <w:widowControl/>
        <w:ind w:right="-1" w:hanging="0"/>
        <w:rPr>
          <w:rFonts w:eastAsia="Times New Roman"/>
          <w:color w:val="000000" w:themeColor="text1"/>
          <w:highlight w:val="yellow"/>
        </w:rPr>
      </w:pPr>
      <w:r>
        <w:rPr>
          <w:rFonts w:eastAsia="Times New Roman"/>
          <w:color w:val="000000" w:themeColor="text1"/>
        </w:rPr>
        <w:t xml:space="preserve">Свидетельство о допуске </w:t>
      </w:r>
      <w:r>
        <w:rPr/>
        <w:t>№ 0483.01-2012-6324033007-И-003 от 23.11.2012  года.</w:t>
      </w:r>
    </w:p>
    <w:p>
      <w:pPr>
        <w:pStyle w:val="Normal"/>
        <w:widowControl/>
        <w:ind w:right="-1" w:hanging="0"/>
        <w:rPr>
          <w:rFonts w:eastAsia="Times New Roman"/>
          <w:color w:val="000000" w:themeColor="text1"/>
          <w:highlight w:val="yellow"/>
        </w:rPr>
      </w:pPr>
      <w:r>
        <w:rPr>
          <w:rFonts w:eastAsia="Times New Roman"/>
          <w:color w:val="000000" w:themeColor="text1"/>
          <w:highlight w:val="yellow"/>
        </w:rPr>
      </w:r>
    </w:p>
    <w:p>
      <w:pPr>
        <w:pStyle w:val="Normal"/>
        <w:widowControl/>
        <w:ind w:right="-1" w:hanging="0"/>
        <w:rPr>
          <w:rFonts w:eastAsia="Times New Roman"/>
          <w:color w:val="000000" w:themeColor="text1"/>
          <w:highlight w:val="yellow"/>
        </w:rPr>
      </w:pPr>
      <w:r>
        <w:rPr>
          <w:rFonts w:eastAsia="Times New Roman"/>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1.6. Идентификационные сведения о заявителе, застройщике, заказчике:</w:t>
      </w:r>
    </w:p>
    <w:p>
      <w:pPr>
        <w:pStyle w:val="Normal"/>
        <w:widowControl/>
        <w:ind w:right="-1" w:hanging="0"/>
        <w:rPr>
          <w:rFonts w:eastAsia="Times New Roman"/>
          <w:color w:val="000000" w:themeColor="text1"/>
        </w:rPr>
      </w:pPr>
      <w:r>
        <w:rPr>
          <w:rFonts w:eastAsia="Times New Roman"/>
          <w:color w:val="000000" w:themeColor="text1"/>
        </w:rPr>
      </w:r>
    </w:p>
    <w:p>
      <w:pPr>
        <w:pStyle w:val="Normal"/>
        <w:widowControl/>
        <w:ind w:right="-1" w:hanging="0"/>
        <w:rPr>
          <w:rStyle w:val="FontStyle19"/>
          <w:bCs/>
          <w:color w:val="000000" w:themeColor="text1"/>
        </w:rPr>
      </w:pPr>
      <w:r>
        <w:rPr>
          <w:rFonts w:eastAsia="Times New Roman"/>
          <w:b/>
          <w:color w:val="000000" w:themeColor="text1"/>
        </w:rPr>
        <w:t>Застройщик:</w:t>
      </w:r>
      <w:r>
        <w:rPr>
          <w:rFonts w:eastAsia="Times New Roman"/>
          <w:color w:val="000000" w:themeColor="text1"/>
        </w:rPr>
        <w:t xml:space="preserve"> </w:t>
      </w:r>
      <w:r>
        <w:rPr>
          <w:bCs/>
        </w:rPr>
        <w:t>Общество с ограниченной ответственностью «Строительная Компания СТРОНЖ»  (ООО «СК СТРОНЖ»)</w:t>
      </w:r>
    </w:p>
    <w:p>
      <w:pPr>
        <w:pStyle w:val="Normal"/>
        <w:widowControl/>
        <w:ind w:right="-1" w:hanging="0"/>
        <w:rPr>
          <w:color w:val="000000" w:themeColor="text1"/>
        </w:rPr>
      </w:pPr>
      <w:r>
        <w:rPr>
          <w:rFonts w:eastAsia="Times New Roman"/>
          <w:b/>
          <w:color w:val="000000" w:themeColor="text1"/>
        </w:rPr>
        <w:t>Юридический адрес:</w:t>
      </w:r>
      <w:r>
        <w:rPr>
          <w:rFonts w:eastAsia="Times New Roman"/>
          <w:color w:val="000000" w:themeColor="text1"/>
        </w:rPr>
        <w:t xml:space="preserve"> </w:t>
      </w:r>
      <w:r>
        <w:rPr>
          <w:color w:val="000000" w:themeColor="text1"/>
        </w:rPr>
        <w:t xml:space="preserve">445037, РФ, Самарская область, </w:t>
      </w:r>
    </w:p>
    <w:p>
      <w:pPr>
        <w:pStyle w:val="Normal"/>
        <w:widowControl/>
        <w:ind w:right="-1" w:hanging="0"/>
        <w:rPr>
          <w:color w:val="000000" w:themeColor="text1"/>
        </w:rPr>
      </w:pPr>
      <w:r>
        <w:rPr>
          <w:color w:val="000000" w:themeColor="text1"/>
        </w:rPr>
        <w:t>г. Тольятти, ул. Фрунзе,10А, офис 12-29.</w:t>
      </w:r>
    </w:p>
    <w:p>
      <w:pPr>
        <w:pStyle w:val="Normal"/>
        <w:widowControl/>
        <w:ind w:right="-1" w:hanging="0"/>
        <w:rPr>
          <w:rFonts w:eastAsia="Times New Roman"/>
          <w:color w:val="000000" w:themeColor="text1"/>
        </w:rPr>
      </w:pPr>
      <w:r>
        <w:rPr/>
        <w:t>Генеральный директор  Кузнецов Алексей Петрович</w:t>
      </w:r>
    </w:p>
    <w:p>
      <w:pPr>
        <w:pStyle w:val="Normal"/>
        <w:widowControl/>
        <w:ind w:right="-1" w:hanging="0"/>
        <w:rPr>
          <w:rFonts w:eastAsia="Times New Roman"/>
          <w:b/>
          <w:b/>
          <w:color w:val="000000" w:themeColor="text1"/>
        </w:rPr>
      </w:pPr>
      <w:r>
        <w:rPr>
          <w:rFonts w:eastAsia="Times New Roman"/>
          <w:b/>
          <w:color w:val="000000" w:themeColor="text1"/>
        </w:rPr>
      </w:r>
    </w:p>
    <w:p>
      <w:pPr>
        <w:pStyle w:val="Normal"/>
        <w:widowControl/>
        <w:ind w:right="-1" w:hanging="0"/>
        <w:rPr>
          <w:rStyle w:val="FontStyle19"/>
          <w:bCs/>
          <w:color w:val="000000" w:themeColor="text1"/>
        </w:rPr>
      </w:pPr>
      <w:r>
        <w:rPr>
          <w:rFonts w:eastAsia="Times New Roman"/>
          <w:b/>
          <w:color w:val="000000" w:themeColor="text1"/>
        </w:rPr>
        <w:t>Заявитель:</w:t>
      </w:r>
      <w:r>
        <w:rPr>
          <w:rFonts w:eastAsia="Times New Roman"/>
          <w:color w:val="000000" w:themeColor="text1"/>
        </w:rPr>
        <w:t xml:space="preserve"> </w:t>
      </w:r>
      <w:r>
        <w:rPr>
          <w:bCs/>
        </w:rPr>
        <w:t>Общество с ограниченной ответственностью «Строительная Компания СТРОНЖ»  (ООО «СК СТРОНЖ»)</w:t>
      </w:r>
    </w:p>
    <w:p>
      <w:pPr>
        <w:pStyle w:val="Normal"/>
        <w:widowControl/>
        <w:ind w:right="-1" w:hanging="0"/>
        <w:rPr>
          <w:color w:val="000000" w:themeColor="text1"/>
        </w:rPr>
      </w:pPr>
      <w:r>
        <w:rPr>
          <w:rFonts w:eastAsia="Times New Roman"/>
          <w:b/>
          <w:color w:val="000000" w:themeColor="text1"/>
        </w:rPr>
        <w:t>Юридический адрес:</w:t>
      </w:r>
      <w:r>
        <w:rPr>
          <w:rFonts w:eastAsia="Times New Roman"/>
          <w:color w:val="000000" w:themeColor="text1"/>
        </w:rPr>
        <w:t xml:space="preserve"> </w:t>
      </w:r>
      <w:r>
        <w:rPr>
          <w:color w:val="000000" w:themeColor="text1"/>
        </w:rPr>
        <w:t xml:space="preserve">445037, РФ, Самарская область, </w:t>
      </w:r>
    </w:p>
    <w:p>
      <w:pPr>
        <w:pStyle w:val="Normal"/>
        <w:widowControl/>
        <w:ind w:right="-1" w:hanging="0"/>
        <w:rPr>
          <w:color w:val="000000" w:themeColor="text1"/>
        </w:rPr>
      </w:pPr>
      <w:r>
        <w:rPr>
          <w:color w:val="000000" w:themeColor="text1"/>
        </w:rPr>
        <w:t>г. Тольятти, ул. Фрунзе,10А, офис 12-29.</w:t>
      </w:r>
    </w:p>
    <w:p>
      <w:pPr>
        <w:pStyle w:val="Normal"/>
        <w:widowControl/>
        <w:ind w:right="-1" w:hanging="0"/>
        <w:rPr>
          <w:rFonts w:eastAsia="Times New Roman"/>
          <w:color w:val="000000" w:themeColor="text1"/>
        </w:rPr>
      </w:pPr>
      <w:r>
        <w:rPr/>
        <w:t>Генеральный директор  Кузнецов Алексей Петрович</w:t>
      </w:r>
    </w:p>
    <w:p>
      <w:pPr>
        <w:pStyle w:val="Normal"/>
        <w:widowControl/>
        <w:ind w:right="-1" w:hanging="0"/>
        <w:rPr>
          <w:rFonts w:eastAsia="Times New Roman"/>
          <w:color w:val="000000" w:themeColor="text1"/>
        </w:rPr>
      </w:pPr>
      <w:r>
        <w:rPr>
          <w:rFonts w:eastAsia="Times New Roman"/>
          <w:color w:val="000000" w:themeColor="text1"/>
        </w:rPr>
      </w:r>
    </w:p>
    <w:p>
      <w:pPr>
        <w:pStyle w:val="Normal"/>
        <w:widowControl/>
        <w:ind w:right="-1" w:hanging="0"/>
        <w:rPr>
          <w:rStyle w:val="FontStyle19"/>
          <w:bCs/>
          <w:color w:val="000000" w:themeColor="text1"/>
        </w:rPr>
      </w:pPr>
      <w:r>
        <w:rPr>
          <w:rFonts w:eastAsia="Times New Roman"/>
          <w:b/>
          <w:color w:val="000000" w:themeColor="text1"/>
        </w:rPr>
        <w:t xml:space="preserve">Технический заказчик: </w:t>
      </w:r>
      <w:r>
        <w:rPr>
          <w:bCs/>
        </w:rPr>
        <w:t>Общество с ограниченной ответственностью «Строительная Компания СТРОНЖ»  (ООО «СК СТРОНЖ»)</w:t>
      </w:r>
    </w:p>
    <w:p>
      <w:pPr>
        <w:pStyle w:val="Normal"/>
        <w:widowControl/>
        <w:ind w:right="-1" w:hanging="0"/>
        <w:rPr>
          <w:color w:val="000000" w:themeColor="text1"/>
        </w:rPr>
      </w:pPr>
      <w:r>
        <w:rPr>
          <w:rFonts w:eastAsia="Times New Roman"/>
          <w:b/>
          <w:color w:val="000000" w:themeColor="text1"/>
        </w:rPr>
        <w:t>Юридический адрес:</w:t>
      </w:r>
      <w:r>
        <w:rPr>
          <w:rFonts w:eastAsia="Times New Roman"/>
          <w:color w:val="000000" w:themeColor="text1"/>
        </w:rPr>
        <w:t xml:space="preserve"> </w:t>
      </w:r>
      <w:r>
        <w:rPr>
          <w:color w:val="000000" w:themeColor="text1"/>
        </w:rPr>
        <w:t xml:space="preserve">445037, РФ, Самарская область, </w:t>
      </w:r>
    </w:p>
    <w:p>
      <w:pPr>
        <w:pStyle w:val="Normal"/>
        <w:widowControl/>
        <w:ind w:right="-1" w:hanging="0"/>
        <w:rPr>
          <w:color w:val="000000" w:themeColor="text1"/>
        </w:rPr>
      </w:pPr>
      <w:r>
        <w:rPr>
          <w:color w:val="000000" w:themeColor="text1"/>
        </w:rPr>
        <w:t>г. Тольятти, ул. Фрунзе,10А, офис 12-29.</w:t>
      </w:r>
    </w:p>
    <w:p>
      <w:pPr>
        <w:pStyle w:val="Normal"/>
        <w:widowControl/>
        <w:ind w:right="-1" w:hanging="0"/>
        <w:rPr>
          <w:rFonts w:eastAsia="Times New Roman"/>
          <w:color w:val="000000" w:themeColor="text1"/>
        </w:rPr>
      </w:pPr>
      <w:r>
        <w:rPr/>
        <w:t>Генеральный директор  Кузнецов Алексей Петрович</w:t>
      </w:r>
    </w:p>
    <w:p>
      <w:pPr>
        <w:pStyle w:val="Normal"/>
        <w:widowControl/>
        <w:ind w:right="-1" w:hanging="0"/>
        <w:rPr>
          <w:rFonts w:eastAsia="Times New Roman"/>
          <w:b/>
          <w:b/>
          <w:color w:val="000000" w:themeColor="text1"/>
          <w:highlight w:val="yellow"/>
        </w:rPr>
      </w:pPr>
      <w:r>
        <w:rPr>
          <w:rFonts w:eastAsia="Times New Roman"/>
          <w:b/>
          <w:color w:val="000000" w:themeColor="text1"/>
          <w:highlight w:val="yellow"/>
        </w:rPr>
      </w:r>
    </w:p>
    <w:p>
      <w:pPr>
        <w:pStyle w:val="Normal"/>
        <w:widowControl/>
        <w:ind w:right="-1" w:hanging="0"/>
        <w:rPr>
          <w:rFonts w:eastAsia="Times New Roman"/>
          <w:b/>
          <w:b/>
          <w:color w:val="000000" w:themeColor="text1"/>
          <w:highlight w:val="yellow"/>
        </w:rPr>
      </w:pPr>
      <w:r>
        <w:rPr>
          <w:rFonts w:eastAsia="Times New Roman"/>
          <w:b/>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1.7. Источник финансирования:</w:t>
      </w:r>
    </w:p>
    <w:p>
      <w:pPr>
        <w:pStyle w:val="Normal"/>
        <w:widowControl/>
        <w:ind w:right="-1" w:hanging="0"/>
        <w:rPr>
          <w:rFonts w:eastAsia="Times New Roman"/>
          <w:b/>
          <w:b/>
          <w:color w:val="000000" w:themeColor="text1"/>
        </w:rPr>
      </w:pPr>
      <w:r>
        <w:rPr>
          <w:rFonts w:eastAsia="Times New Roman"/>
          <w:b/>
          <w:color w:val="000000" w:themeColor="text1"/>
        </w:rPr>
      </w:r>
    </w:p>
    <w:p>
      <w:pPr>
        <w:pStyle w:val="Normal"/>
        <w:widowControl/>
        <w:ind w:right="-1" w:hanging="0"/>
        <w:rPr>
          <w:rFonts w:eastAsia="Times New Roman"/>
          <w:color w:val="000000" w:themeColor="text1"/>
        </w:rPr>
      </w:pPr>
      <w:r>
        <w:rPr>
          <w:rFonts w:eastAsia="Times New Roman"/>
          <w:color w:val="000000" w:themeColor="text1"/>
        </w:rPr>
        <w:t>собственные средства</w:t>
      </w:r>
    </w:p>
    <w:p>
      <w:pPr>
        <w:pStyle w:val="Normal"/>
        <w:widowControl/>
        <w:ind w:right="-1" w:hanging="0"/>
        <w:rPr>
          <w:rFonts w:eastAsia="Times New Roman"/>
          <w:color w:val="000000" w:themeColor="text1"/>
        </w:rPr>
      </w:pPr>
      <w:r>
        <w:rPr>
          <w:rFonts w:eastAsia="Times New Roman"/>
          <w:color w:val="000000" w:themeColor="text1"/>
        </w:rPr>
      </w:r>
    </w:p>
    <w:p>
      <w:pPr>
        <w:pStyle w:val="Normal"/>
        <w:widowControl/>
        <w:ind w:right="-1" w:hanging="0"/>
        <w:rPr>
          <w:rFonts w:eastAsia="Times New Roman"/>
          <w:color w:val="000000" w:themeColor="text1"/>
        </w:rPr>
      </w:pPr>
      <w:r>
        <w:rPr>
          <w:rFonts w:eastAsia="Times New Roman"/>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1.8. Иные сведения, необходимые для идентификации объекта и предмета негосударственной экспертизы, объекта капитального строительства, исполнителей работ по подготовке документации (материалов), заявителя, застройщика, заказчика:</w:t>
      </w:r>
    </w:p>
    <w:p>
      <w:pPr>
        <w:pStyle w:val="Normal"/>
        <w:widowControl/>
        <w:ind w:right="-1" w:hanging="0"/>
        <w:rPr>
          <w:rFonts w:eastAsia="Times New Roman"/>
          <w:b/>
          <w:b/>
          <w:bCs/>
          <w:color w:val="000000" w:themeColor="text1"/>
        </w:rPr>
      </w:pPr>
      <w:r>
        <w:rPr>
          <w:rFonts w:eastAsia="Times New Roman"/>
          <w:b/>
          <w:bCs/>
          <w:color w:val="000000" w:themeColor="text1"/>
        </w:rPr>
      </w:r>
    </w:p>
    <w:p>
      <w:pPr>
        <w:pStyle w:val="Normal"/>
        <w:ind w:right="-1" w:hanging="0"/>
        <w:rPr/>
      </w:pPr>
      <w:r>
        <w:rPr/>
        <w:t>1. Право пользования земельным участком предоставлено на основании  Свидетельства о государственной регистрации права собственности от 19.11.2015 года № 63-63/009-63/009/302/2015-6800/1.</w:t>
      </w:r>
    </w:p>
    <w:p>
      <w:pPr>
        <w:pStyle w:val="Normal"/>
        <w:ind w:right="-1" w:hanging="0"/>
        <w:rPr/>
      </w:pPr>
      <w:r>
        <w:rPr/>
        <w:t>2. Градостроительный план № RU63302000-0000000000002053  от 23.11.2015 года выдан Управлением архитектуры и градостроительства мэрии городского округа Тольятти.</w:t>
      </w:r>
    </w:p>
    <w:p>
      <w:pPr>
        <w:pStyle w:val="Normal"/>
        <w:ind w:right="-1" w:hanging="0"/>
        <w:rPr>
          <w:rFonts w:eastAsia="Times New Roman"/>
          <w:color w:val="000000" w:themeColor="text1"/>
          <w:highlight w:val="yellow"/>
        </w:rPr>
      </w:pPr>
      <w:r>
        <w:rPr>
          <w:rFonts w:eastAsia="Times New Roman"/>
          <w:color w:val="000000" w:themeColor="text1"/>
          <w:highlight w:val="yellow"/>
        </w:rPr>
      </w:r>
    </w:p>
    <w:p>
      <w:pPr>
        <w:pStyle w:val="Normal"/>
        <w:widowControl/>
        <w:ind w:right="-1" w:hanging="0"/>
        <w:rPr>
          <w:rFonts w:eastAsia="Times New Roman"/>
          <w:color w:val="000000" w:themeColor="text1"/>
          <w:highlight w:val="yellow"/>
        </w:rPr>
      </w:pPr>
      <w:r>
        <w:rPr>
          <w:rFonts w:eastAsia="Times New Roman"/>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2. Основания для выполнения инженерных изысканий, разработки проектной документации</w:t>
      </w:r>
    </w:p>
    <w:p>
      <w:pPr>
        <w:pStyle w:val="Normal"/>
        <w:widowControl/>
        <w:spacing w:beforeAutospacing="1" w:afterAutospacing="1"/>
        <w:ind w:right="-1" w:hanging="0"/>
        <w:rPr>
          <w:rFonts w:eastAsia="Times New Roman"/>
          <w:b/>
          <w:b/>
          <w:color w:val="000000" w:themeColor="text1"/>
        </w:rPr>
      </w:pPr>
      <w:r>
        <w:rPr>
          <w:rFonts w:eastAsia="Times New Roman"/>
          <w:b/>
          <w:color w:val="000000" w:themeColor="text1"/>
        </w:rPr>
        <w:t>2.1. Основания для выполнения инженерных изысканий:</w:t>
      </w:r>
    </w:p>
    <w:p>
      <w:pPr>
        <w:pStyle w:val="Normal"/>
        <w:widowControl/>
        <w:ind w:right="-1" w:hanging="0"/>
        <w:rPr>
          <w:color w:val="000000" w:themeColor="text1"/>
        </w:rPr>
      </w:pPr>
      <w:r>
        <w:rPr>
          <w:rFonts w:eastAsia="Times New Roman"/>
          <w:color w:val="000000" w:themeColor="text1"/>
        </w:rPr>
        <w:t xml:space="preserve">- техническое задание на производство инженерно-геологических изысканий, утверждено генеральным директором ООО «СК СТРОНЖ» А.П. Кузнецовым, согласовано генеральным директором </w:t>
      </w:r>
      <w:r>
        <w:rPr>
          <w:color w:val="000000" w:themeColor="text1"/>
        </w:rPr>
        <w:t>ООО «Градостроительство» А.В. Притула.</w:t>
      </w:r>
    </w:p>
    <w:p>
      <w:pPr>
        <w:pStyle w:val="Normal"/>
        <w:widowControl/>
        <w:ind w:right="-1" w:hanging="0"/>
        <w:rPr>
          <w:rFonts w:eastAsia="Times New Roman"/>
          <w:color w:val="000000" w:themeColor="text1"/>
        </w:rPr>
      </w:pPr>
      <w:r>
        <w:rPr>
          <w:rFonts w:eastAsia="Times New Roman"/>
          <w:color w:val="000000" w:themeColor="text1"/>
        </w:rPr>
      </w:r>
    </w:p>
    <w:p>
      <w:pPr>
        <w:pStyle w:val="Normal"/>
        <w:widowControl/>
        <w:ind w:right="-1" w:hanging="0"/>
        <w:rPr>
          <w:rFonts w:eastAsia="Times New Roman"/>
          <w:color w:val="000000" w:themeColor="text1"/>
        </w:rPr>
      </w:pPr>
      <w:r>
        <w:rPr>
          <w:rFonts w:eastAsia="Times New Roman"/>
          <w:color w:val="000000" w:themeColor="text1"/>
        </w:rPr>
      </w:r>
    </w:p>
    <w:p>
      <w:pPr>
        <w:pStyle w:val="Normal"/>
        <w:widowControl/>
        <w:ind w:right="-1" w:hanging="0"/>
        <w:rPr>
          <w:rFonts w:eastAsia="Times New Roman"/>
          <w:b/>
          <w:b/>
          <w:color w:val="000000" w:themeColor="text1"/>
          <w:highlight w:val="yellow"/>
        </w:rPr>
      </w:pPr>
      <w:r>
        <w:rPr>
          <w:rFonts w:eastAsia="Times New Roman"/>
          <w:b/>
          <w:color w:val="000000" w:themeColor="text1"/>
        </w:rPr>
        <w:t>2.2. Основания для разработки проектной документации:</w:t>
      </w:r>
    </w:p>
    <w:p>
      <w:pPr>
        <w:pStyle w:val="Normal"/>
        <w:widowControl/>
        <w:tabs>
          <w:tab w:val="left" w:pos="709" w:leader="none"/>
        </w:tabs>
        <w:ind w:right="-1" w:hanging="0"/>
        <w:rPr>
          <w:color w:val="000000" w:themeColor="text1"/>
          <w:highlight w:val="yellow"/>
        </w:rPr>
      </w:pPr>
      <w:r>
        <w:rPr>
          <w:color w:val="000000" w:themeColor="text1"/>
          <w:highlight w:val="yellow"/>
        </w:rPr>
      </w:r>
    </w:p>
    <w:p>
      <w:pPr>
        <w:pStyle w:val="Normal"/>
        <w:widowControl/>
        <w:ind w:right="-1" w:firstLine="709"/>
        <w:rPr>
          <w:rFonts w:eastAsia="Times New Roman"/>
        </w:rPr>
      </w:pPr>
      <w:r>
        <w:rPr>
          <w:rFonts w:eastAsia="Times New Roman"/>
          <w:color w:val="000000"/>
        </w:rPr>
        <w:t>1. Задание на проектирование к договору № 11-16 ПР от 01.11.2016г.</w:t>
      </w:r>
    </w:p>
    <w:p>
      <w:pPr>
        <w:pStyle w:val="Normal"/>
        <w:widowControl/>
        <w:ind w:right="-1" w:firstLine="709"/>
        <w:rPr>
          <w:rFonts w:eastAsia="Times New Roman"/>
        </w:rPr>
      </w:pPr>
      <w:r>
        <w:rPr>
          <w:rFonts w:eastAsia="Times New Roman"/>
          <w:color w:val="000000"/>
        </w:rPr>
        <w:t>2. Технический отчет по инженерно-геодезическим изысканиям выполнен ООО "ГЕОПРОЕКТ" (шифр №189-ИГИ) - свидетельство о допуске к работам —№ 01-И--№0249-4</w:t>
      </w:r>
    </w:p>
    <w:p>
      <w:pPr>
        <w:pStyle w:val="Normal"/>
        <w:widowControl/>
        <w:ind w:right="-1" w:firstLine="709"/>
        <w:rPr>
          <w:rFonts w:eastAsia="Times New Roman"/>
        </w:rPr>
      </w:pPr>
      <w:r>
        <w:rPr>
          <w:rFonts w:eastAsia="Times New Roman"/>
          <w:color w:val="000000"/>
        </w:rPr>
        <w:t>3. Технический отчет об инженерно-геологических изысканиях, выполненных ООО «Градостроительство» (арх. № 2124).</w:t>
      </w:r>
    </w:p>
    <w:p>
      <w:pPr>
        <w:pStyle w:val="Normal"/>
        <w:widowControl/>
        <w:ind w:right="-1" w:firstLine="709"/>
        <w:rPr>
          <w:rFonts w:eastAsia="Times New Roman"/>
        </w:rPr>
      </w:pPr>
      <w:r>
        <w:rPr>
          <w:rFonts w:eastAsia="Times New Roman"/>
          <w:color w:val="000000"/>
        </w:rPr>
        <w:t xml:space="preserve">4. Градостроительный план земельного участка № </w:t>
      </w:r>
      <w:r>
        <w:rPr>
          <w:rFonts w:eastAsia="Times New Roman"/>
          <w:color w:val="000000"/>
          <w:lang w:val="en-US"/>
        </w:rPr>
        <w:t>RU</w:t>
      </w:r>
      <w:r>
        <w:rPr>
          <w:rFonts w:eastAsia="Times New Roman"/>
          <w:color w:val="000000"/>
        </w:rPr>
        <w:t xml:space="preserve"> 63302000-0000000000002053, утвержденный распоряжением мэрии городского округа Тольятти №8616-р/5 от 23.11.2015г.</w:t>
      </w:r>
    </w:p>
    <w:p>
      <w:pPr>
        <w:pStyle w:val="Normal"/>
        <w:widowControl/>
        <w:ind w:right="-1" w:firstLine="709"/>
        <w:rPr>
          <w:rFonts w:eastAsia="Times New Roman"/>
        </w:rPr>
      </w:pPr>
      <w:r>
        <w:rPr>
          <w:rFonts w:eastAsia="Times New Roman"/>
          <w:color w:val="000000"/>
        </w:rPr>
        <w:t>5. Технические условия на подключение к сетям инженерно-технического обеспечения № 5163 от 10.06.2016г.:</w:t>
      </w:r>
    </w:p>
    <w:p>
      <w:pPr>
        <w:pStyle w:val="Normal"/>
        <w:widowControl/>
        <w:ind w:right="-1" w:firstLine="709"/>
        <w:rPr>
          <w:rFonts w:eastAsia="Times New Roman"/>
        </w:rPr>
      </w:pPr>
      <w:r>
        <w:rPr>
          <w:rFonts w:eastAsia="Times New Roman"/>
          <w:color w:val="000000"/>
        </w:rPr>
        <w:t>- теплоснабжение;</w:t>
      </w:r>
    </w:p>
    <w:p>
      <w:pPr>
        <w:pStyle w:val="Normal"/>
        <w:widowControl/>
        <w:ind w:right="-1" w:firstLine="709"/>
        <w:rPr>
          <w:rFonts w:eastAsia="Times New Roman"/>
        </w:rPr>
      </w:pPr>
      <w:r>
        <w:rPr>
          <w:rFonts w:eastAsia="Times New Roman"/>
          <w:color w:val="000000"/>
        </w:rPr>
        <w:t>-водоснабжение;</w:t>
      </w:r>
    </w:p>
    <w:p>
      <w:pPr>
        <w:pStyle w:val="Normal"/>
        <w:widowControl/>
        <w:ind w:right="-1" w:firstLine="709"/>
        <w:rPr>
          <w:rFonts w:eastAsia="Times New Roman"/>
        </w:rPr>
      </w:pPr>
      <w:r>
        <w:rPr>
          <w:rFonts w:eastAsia="Times New Roman"/>
          <w:color w:val="000000"/>
        </w:rPr>
        <w:t>-бытовая канализация;</w:t>
      </w:r>
    </w:p>
    <w:p>
      <w:pPr>
        <w:pStyle w:val="Normal"/>
        <w:widowControl/>
        <w:ind w:right="-1" w:firstLine="709"/>
        <w:rPr>
          <w:rFonts w:eastAsia="Times New Roman"/>
        </w:rPr>
      </w:pPr>
      <w:r>
        <w:rPr>
          <w:rFonts w:eastAsia="Times New Roman"/>
          <w:color w:val="000000"/>
        </w:rPr>
        <w:t>-ливневая (дождевая) канализация, выданных ОАО "ТЕВИС".</w:t>
      </w:r>
    </w:p>
    <w:p>
      <w:pPr>
        <w:pStyle w:val="Normal"/>
        <w:widowControl/>
        <w:ind w:right="-1" w:firstLine="709"/>
        <w:rPr>
          <w:rFonts w:eastAsia="Times New Roman"/>
        </w:rPr>
      </w:pPr>
      <w:r>
        <w:rPr>
          <w:rFonts w:eastAsia="Times New Roman"/>
          <w:color w:val="000000"/>
        </w:rPr>
        <w:t>6. Технические условия для присоединения к электрическим сетям №ТУ 29Э/15 от 15.04.2015г.</w:t>
      </w:r>
    </w:p>
    <w:p>
      <w:pPr>
        <w:pStyle w:val="Normal"/>
        <w:widowControl/>
        <w:ind w:right="-1" w:firstLine="709"/>
        <w:rPr>
          <w:rFonts w:eastAsia="Times New Roman"/>
        </w:rPr>
      </w:pPr>
      <w:r>
        <w:rPr>
          <w:rFonts w:eastAsia="Times New Roman"/>
          <w:color w:val="000000"/>
        </w:rPr>
        <w:t>7. Технические условия на телефонизацию № 1144 от 09.11.2016г., выданные ООО «ИнфоЛада».</w:t>
      </w:r>
    </w:p>
    <w:p>
      <w:pPr>
        <w:pStyle w:val="Normal"/>
        <w:widowControl/>
        <w:ind w:right="-1" w:firstLine="709"/>
        <w:rPr>
          <w:rFonts w:eastAsia="Times New Roman"/>
        </w:rPr>
      </w:pPr>
      <w:r>
        <w:rPr>
          <w:rFonts w:eastAsia="Times New Roman"/>
          <w:color w:val="000000"/>
        </w:rPr>
        <w:t>8. Технические условия на телефонную канализацию №0607/03/14382-16.</w:t>
      </w:r>
    </w:p>
    <w:p>
      <w:pPr>
        <w:pStyle w:val="Normal"/>
        <w:widowControl/>
        <w:ind w:right="-1" w:firstLine="709"/>
        <w:rPr>
          <w:rFonts w:eastAsia="Times New Roman"/>
        </w:rPr>
      </w:pPr>
      <w:r>
        <w:rPr>
          <w:rFonts w:eastAsia="Times New Roman"/>
          <w:color w:val="000000"/>
        </w:rPr>
        <w:t>9. Экспертное заключение по результатам санитарно-эпидемиологической экспертизы №18 от 23 июня 2014г.</w:t>
      </w:r>
    </w:p>
    <w:p>
      <w:pPr>
        <w:pStyle w:val="Normal"/>
        <w:widowControl/>
        <w:ind w:right="-1" w:firstLine="709"/>
        <w:rPr>
          <w:rFonts w:eastAsia="Times New Roman"/>
        </w:rPr>
      </w:pPr>
      <w:r>
        <w:rPr>
          <w:rFonts w:eastAsia="Times New Roman"/>
          <w:color w:val="000000"/>
        </w:rPr>
        <w:t>10. Экспертное заключение по результатам санитарно-эпидемиологической экспертизы №09/26У от 27 мая 2014г.</w:t>
      </w:r>
    </w:p>
    <w:p>
      <w:pPr>
        <w:pStyle w:val="Normal"/>
        <w:widowControl/>
        <w:ind w:right="-1" w:firstLine="709"/>
        <w:rPr>
          <w:rFonts w:eastAsia="Times New Roman"/>
        </w:rPr>
      </w:pPr>
      <w:r>
        <w:rPr>
          <w:rFonts w:eastAsia="Times New Roman"/>
          <w:color w:val="000000"/>
        </w:rPr>
        <w:t>11. Экспертное заключение по результатам санитарно-эпидемиологической экспертизы № 448 от 10.02.2016г.</w:t>
      </w:r>
    </w:p>
    <w:p>
      <w:pPr>
        <w:pStyle w:val="Normal"/>
        <w:widowControl/>
        <w:ind w:right="-1" w:firstLine="709"/>
        <w:rPr>
          <w:rFonts w:eastAsia="Times New Roman"/>
        </w:rPr>
      </w:pPr>
      <w:r>
        <w:rPr>
          <w:rFonts w:eastAsia="Times New Roman"/>
          <w:color w:val="000000"/>
        </w:rPr>
        <w:t>12.Письмо Роспотребнадзора №18-04/3684 от 26.05.2016 года о возможности строительства жилого дома.</w:t>
      </w:r>
    </w:p>
    <w:p>
      <w:pPr>
        <w:pStyle w:val="Normal"/>
        <w:tabs>
          <w:tab w:val="left" w:pos="720" w:leader="none"/>
        </w:tabs>
        <w:ind w:right="-1" w:firstLine="709"/>
        <w:rPr>
          <w:color w:val="000000" w:themeColor="text1"/>
        </w:rPr>
      </w:pPr>
      <w:r>
        <w:rPr>
          <w:color w:val="000000" w:themeColor="text1"/>
        </w:rPr>
        <w:t>13. Экспертное заключение по уменьшению существующей санитарно-защитной зоны стадиона «Торпедо» №448 от 10.02.2015г ФБУЗ «Центр гигиены и эпидемиологии Самарской области».</w:t>
      </w:r>
    </w:p>
    <w:p>
      <w:pPr>
        <w:pStyle w:val="Normal"/>
        <w:tabs>
          <w:tab w:val="left" w:pos="720" w:leader="none"/>
        </w:tabs>
        <w:ind w:right="-1" w:firstLine="709"/>
        <w:rPr>
          <w:color w:val="000000" w:themeColor="text1"/>
        </w:rPr>
      </w:pPr>
      <w:r>
        <w:rPr>
          <w:color w:val="000000" w:themeColor="text1"/>
        </w:rPr>
      </w:r>
    </w:p>
    <w:p>
      <w:pPr>
        <w:pStyle w:val="Normal"/>
        <w:widowControl/>
        <w:tabs>
          <w:tab w:val="left" w:pos="0" w:leader="none"/>
        </w:tabs>
        <w:ind w:right="-1" w:hanging="0"/>
        <w:rPr>
          <w:color w:val="000000" w:themeColor="text1"/>
          <w:highlight w:val="yellow"/>
        </w:rPr>
      </w:pPr>
      <w:r>
        <w:rPr>
          <w:color w:val="000000" w:themeColor="text1"/>
          <w:highlight w:val="yellow"/>
        </w:rPr>
      </w:r>
    </w:p>
    <w:p>
      <w:pPr>
        <w:pStyle w:val="Normal"/>
        <w:widowControl/>
        <w:ind w:right="-1" w:firstLine="709"/>
        <w:jc w:val="center"/>
        <w:rPr>
          <w:b/>
          <w:b/>
          <w:color w:val="000000" w:themeColor="text1"/>
          <w:szCs w:val="28"/>
        </w:rPr>
      </w:pPr>
      <w:r>
        <w:rPr>
          <w:b/>
          <w:color w:val="000000" w:themeColor="text1"/>
          <w:szCs w:val="28"/>
        </w:rPr>
        <w:t>3. Описание рассмотренной документации (материалов)</w:t>
      </w:r>
    </w:p>
    <w:p>
      <w:pPr>
        <w:pStyle w:val="Normal"/>
        <w:widowControl/>
        <w:ind w:right="-1" w:firstLine="709"/>
        <w:rPr>
          <w:b/>
          <w:b/>
          <w:color w:val="000000" w:themeColor="text1"/>
          <w:szCs w:val="28"/>
        </w:rPr>
      </w:pPr>
      <w:r>
        <w:rPr>
          <w:b/>
          <w:color w:val="000000" w:themeColor="text1"/>
          <w:szCs w:val="28"/>
        </w:rPr>
      </w:r>
    </w:p>
    <w:p>
      <w:pPr>
        <w:pStyle w:val="Normal"/>
        <w:widowControl/>
        <w:ind w:right="-1" w:hanging="0"/>
        <w:rPr>
          <w:rFonts w:eastAsia="Times New Roman"/>
          <w:b/>
          <w:b/>
          <w:color w:val="000000" w:themeColor="text1"/>
        </w:rPr>
      </w:pPr>
      <w:r>
        <w:rPr>
          <w:rFonts w:eastAsia="Times New Roman"/>
          <w:b/>
          <w:color w:val="000000" w:themeColor="text1"/>
        </w:rPr>
        <w:t>3.1. Описание результатов инженерных изысканий:</w:t>
      </w:r>
    </w:p>
    <w:p>
      <w:pPr>
        <w:pStyle w:val="Normal"/>
        <w:widowControl/>
        <w:ind w:right="-1" w:hanging="0"/>
        <w:rPr>
          <w:rFonts w:eastAsia="Times New Roman"/>
          <w:b/>
          <w:b/>
          <w:color w:val="000000" w:themeColor="text1"/>
        </w:rPr>
      </w:pPr>
      <w:r>
        <w:rPr>
          <w:rFonts w:eastAsia="Times New Roman"/>
          <w:b/>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3.1.1. Топографические, инженерно-геологические, экологические, гидрологические, метеорологические и климатические условиях территории, на которой предполагается осуществлять строительство, реконструкцию объекта капитального строительства с указанием выявленных геологических и инженерно-геологических процессов (карст, сели, сейсмичность, склоновые процессы и другие):</w:t>
      </w:r>
    </w:p>
    <w:p>
      <w:pPr>
        <w:pStyle w:val="Normal"/>
        <w:widowControl/>
        <w:ind w:right="-1" w:hanging="0"/>
        <w:rPr>
          <w:rFonts w:eastAsia="Times New Roman"/>
          <w:b/>
          <w:b/>
          <w:color w:val="000000" w:themeColor="text1"/>
          <w:highlight w:val="yellow"/>
        </w:rPr>
      </w:pPr>
      <w:r>
        <w:rPr>
          <w:rFonts w:eastAsia="Times New Roman"/>
          <w:b/>
          <w:color w:val="000000" w:themeColor="text1"/>
          <w:highlight w:val="yellow"/>
        </w:rPr>
      </w:r>
    </w:p>
    <w:p>
      <w:pPr>
        <w:pStyle w:val="Normal"/>
        <w:tabs>
          <w:tab w:val="left" w:pos="1418" w:leader="none"/>
          <w:tab w:val="left" w:pos="1843" w:leader="none"/>
        </w:tabs>
        <w:ind w:right="-1" w:firstLine="709"/>
        <w:rPr>
          <w:color w:val="000000" w:themeColor="text1"/>
        </w:rPr>
      </w:pPr>
      <w:r>
        <w:rPr>
          <w:color w:val="000000" w:themeColor="text1"/>
        </w:rPr>
        <w:t>Исследуемый участок под проектируемый жилой дом расположен по ул. Юбилейная в Автозаводском районе г. Тольятти.</w:t>
      </w:r>
    </w:p>
    <w:p>
      <w:pPr>
        <w:pStyle w:val="Normal"/>
        <w:tabs>
          <w:tab w:val="left" w:pos="1418" w:leader="none"/>
          <w:tab w:val="left" w:pos="1843" w:leader="none"/>
        </w:tabs>
        <w:ind w:right="-1" w:firstLine="709"/>
        <w:rPr>
          <w:color w:val="000000" w:themeColor="text1"/>
        </w:rPr>
      </w:pPr>
      <w:r>
        <w:rPr>
          <w:color w:val="000000" w:themeColor="text1"/>
        </w:rPr>
        <w:t>В геоморфологическом отношении данный участок приурочен к IV-ой надпойменной террасе левобережья р. Волги.</w:t>
      </w:r>
    </w:p>
    <w:p>
      <w:pPr>
        <w:pStyle w:val="Normal"/>
        <w:tabs>
          <w:tab w:val="left" w:pos="1418" w:leader="none"/>
          <w:tab w:val="left" w:pos="1843" w:leader="none"/>
        </w:tabs>
        <w:ind w:right="-1" w:firstLine="709"/>
        <w:rPr>
          <w:color w:val="000000" w:themeColor="text1"/>
        </w:rPr>
      </w:pPr>
      <w:r>
        <w:rPr>
          <w:color w:val="000000" w:themeColor="text1"/>
        </w:rPr>
        <w:t>Поверхность площадки ровная, заасфальтированная, с небольшим уклоном на запад, абсолютные отметки ее составляют ~81,15-82,50м.</w:t>
      </w:r>
    </w:p>
    <w:p>
      <w:pPr>
        <w:pStyle w:val="Normal"/>
        <w:tabs>
          <w:tab w:val="left" w:pos="1418" w:leader="none"/>
          <w:tab w:val="left" w:pos="1843" w:leader="none"/>
        </w:tabs>
        <w:ind w:right="-1" w:firstLine="709"/>
        <w:rPr>
          <w:color w:val="000000" w:themeColor="text1"/>
        </w:rPr>
      </w:pPr>
      <w:r>
        <w:rPr>
          <w:color w:val="000000" w:themeColor="text1"/>
        </w:rPr>
        <w:t>Опасных физико-геологических процессов на участке и прилегающей к нему территории не имеется.</w:t>
      </w:r>
    </w:p>
    <w:p>
      <w:pPr>
        <w:pStyle w:val="Normal"/>
        <w:tabs>
          <w:tab w:val="left" w:pos="1418" w:leader="none"/>
          <w:tab w:val="left" w:pos="1843" w:leader="none"/>
        </w:tabs>
        <w:ind w:right="-1" w:firstLine="709"/>
        <w:rPr>
          <w:color w:val="000000" w:themeColor="text1"/>
        </w:rPr>
      </w:pPr>
      <w:r>
        <w:rPr>
          <w:color w:val="000000" w:themeColor="text1"/>
        </w:rPr>
        <w:t>В соответствии с картой климатического районирования для строительства СП 131.13330.2012 г. Тольятти относится к II В району.</w:t>
      </w:r>
    </w:p>
    <w:p>
      <w:pPr>
        <w:pStyle w:val="Normal"/>
        <w:tabs>
          <w:tab w:val="left" w:pos="1418" w:leader="none"/>
          <w:tab w:val="left" w:pos="1843" w:leader="none"/>
        </w:tabs>
        <w:ind w:right="-1" w:firstLine="709"/>
        <w:rPr>
          <w:color w:val="000000" w:themeColor="text1"/>
        </w:rPr>
      </w:pPr>
      <w:r>
        <w:rPr>
          <w:color w:val="000000" w:themeColor="text1"/>
        </w:rPr>
        <w:t>Природная сейсмичность г. Тольятти от нагрузок природного и техногенного характера оценена до 6 баллов.</w:t>
      </w:r>
    </w:p>
    <w:p>
      <w:pPr>
        <w:pStyle w:val="Normal"/>
        <w:tabs>
          <w:tab w:val="left" w:pos="1418" w:leader="none"/>
          <w:tab w:val="left" w:pos="1843" w:leader="none"/>
        </w:tabs>
        <w:ind w:right="-1" w:firstLine="709"/>
        <w:rPr>
          <w:lang w:eastAsia="ar-SA"/>
        </w:rPr>
      </w:pPr>
      <w:r>
        <w:rPr>
          <w:lang w:eastAsia="ar-SA"/>
        </w:rPr>
        <w:t>Геологический разрез исследуемого участка по результатам выполненного бурения и статического зондирования на глубину 28м от поверхности земли сложен аллювиальными отложениями среднечетветичного возраста (</w:t>
      </w:r>
      <w:r>
        <w:rPr>
          <w:lang w:val="en-US"/>
        </w:rPr>
        <w:t>aQ</w:t>
      </w:r>
      <w:r>
        <w:rPr>
          <w:vertAlign w:val="subscript"/>
          <w:lang w:val="en-US"/>
        </w:rPr>
        <w:t>II</w:t>
      </w:r>
      <w:r>
        <w:rPr>
          <w:lang w:eastAsia="ar-SA"/>
        </w:rPr>
        <w:t>), прикрытыми с поверхности насыпным (</w:t>
      </w:r>
      <w:r>
        <w:rPr>
          <w:lang w:val="en-US"/>
        </w:rPr>
        <w:t>tQ</w:t>
      </w:r>
      <w:r>
        <w:rPr>
          <w:vertAlign w:val="subscript"/>
          <w:lang w:val="en-US"/>
        </w:rPr>
        <w:t>IV</w:t>
      </w:r>
      <w:r>
        <w:rPr>
          <w:lang w:eastAsia="ar-SA"/>
        </w:rPr>
        <w:t>) грунтом, и представлен следующими литологическими разностями.</w:t>
      </w:r>
    </w:p>
    <w:p>
      <w:pPr>
        <w:pStyle w:val="Normal"/>
        <w:ind w:right="-1" w:firstLine="709"/>
        <w:rPr>
          <w:lang w:eastAsia="ar-SA"/>
        </w:rPr>
      </w:pPr>
      <w:r>
        <w:rPr>
          <w:lang w:eastAsia="ar-SA"/>
        </w:rPr>
        <w:t>В инженерно-геологическом разрезе участка выделено 4 инженерно-геологических элемента (ИГЭ):</w:t>
      </w:r>
    </w:p>
    <w:p>
      <w:pPr>
        <w:pStyle w:val="Normal"/>
        <w:ind w:right="-1" w:firstLine="709"/>
        <w:rPr>
          <w:lang w:eastAsia="ar-SA"/>
        </w:rPr>
      </w:pPr>
      <w:r>
        <w:rPr>
          <w:lang w:eastAsia="ar-SA"/>
        </w:rPr>
        <w:t>ИГЭ 1 – насыпной грунт</w:t>
      </w:r>
    </w:p>
    <w:p>
      <w:pPr>
        <w:pStyle w:val="Normal"/>
        <w:ind w:right="-1" w:firstLine="709"/>
        <w:rPr>
          <w:lang w:eastAsia="ar-SA"/>
        </w:rPr>
      </w:pPr>
      <w:r>
        <w:rPr>
          <w:lang w:eastAsia="ar-SA"/>
        </w:rPr>
        <w:t xml:space="preserve">ИГЭ 2 – суглинок твердый, </w:t>
      </w:r>
      <w:r>
        <w:rPr>
          <w:b/>
          <w:i/>
          <w:lang w:eastAsia="ar-SA"/>
        </w:rPr>
        <w:t>просадочный.</w:t>
      </w:r>
    </w:p>
    <w:p>
      <w:pPr>
        <w:pStyle w:val="Normal"/>
        <w:ind w:right="-1" w:firstLine="709"/>
        <w:rPr>
          <w:b/>
          <w:b/>
          <w:lang w:eastAsia="ar-SA"/>
        </w:rPr>
      </w:pPr>
      <w:r>
        <w:rPr>
          <w:lang w:eastAsia="ar-SA"/>
        </w:rPr>
        <w:t xml:space="preserve">ИГЭ 3 – суглинок полутвердый, </w:t>
      </w:r>
      <w:r>
        <w:rPr>
          <w:b/>
          <w:i/>
          <w:lang w:eastAsia="ar-SA"/>
        </w:rPr>
        <w:t>непросадочный.</w:t>
      </w:r>
    </w:p>
    <w:p>
      <w:pPr>
        <w:pStyle w:val="Normal"/>
        <w:ind w:right="-1" w:firstLine="709"/>
        <w:rPr>
          <w:lang w:eastAsia="ar-SA"/>
        </w:rPr>
      </w:pPr>
      <w:r>
        <w:rPr>
          <w:lang w:eastAsia="ar-SA"/>
        </w:rPr>
        <w:t>ИГЭ 4 – песок пылеватый, плотный.</w:t>
      </w:r>
    </w:p>
    <w:p>
      <w:pPr>
        <w:pStyle w:val="Normal"/>
        <w:ind w:right="-1" w:firstLine="709"/>
        <w:rPr>
          <w:lang w:eastAsia="ar-SA"/>
        </w:rPr>
      </w:pPr>
      <w:r>
        <w:rPr>
          <w:lang w:eastAsia="ar-SA"/>
        </w:rPr>
        <w:t>Расчетные значения показателей физико-механических свойств грунтов по элементам сведены в таблице:</w:t>
      </w:r>
    </w:p>
    <w:p>
      <w:pPr>
        <w:pStyle w:val="Normal"/>
        <w:ind w:left="-567" w:firstLine="709"/>
        <w:jc w:val="right"/>
        <w:rPr/>
      </w:pPr>
      <w:r>
        <w:rPr/>
      </w:r>
    </w:p>
    <w:tbl>
      <w:tblPr>
        <w:tblW w:w="9730" w:type="dxa"/>
        <w:jc w:val="center"/>
        <w:tblInd w:w="0" w:type="dxa"/>
        <w:tblBorders>
          <w:top w:val="single" w:sz="4" w:space="0" w:color="000001"/>
          <w:left w:val="single" w:sz="4" w:space="0" w:color="000001"/>
          <w:bottom w:val="single" w:sz="4" w:space="0" w:color="000001"/>
          <w:insideH w:val="single" w:sz="4" w:space="0" w:color="000001"/>
        </w:tblBorders>
        <w:tblCellMar>
          <w:top w:w="0" w:type="dxa"/>
          <w:left w:w="103" w:type="dxa"/>
          <w:bottom w:w="0" w:type="dxa"/>
          <w:right w:w="108" w:type="dxa"/>
        </w:tblCellMar>
        <w:tblLook w:firstRow="0" w:noVBand="0" w:lastRow="0" w:firstColumn="0" w:lastColumn="0" w:noHBand="0" w:val="0000"/>
      </w:tblPr>
      <w:tblGrid>
        <w:gridCol w:w="2852"/>
        <w:gridCol w:w="709"/>
        <w:gridCol w:w="743"/>
        <w:gridCol w:w="817"/>
        <w:gridCol w:w="850"/>
        <w:gridCol w:w="1133"/>
        <w:gridCol w:w="993"/>
        <w:gridCol w:w="709"/>
        <w:gridCol w:w="923"/>
      </w:tblGrid>
      <w:tr>
        <w:trPr>
          <w:trHeight w:val="907" w:hRule="exact"/>
        </w:trPr>
        <w:tc>
          <w:tcPr>
            <w:tcW w:w="2852" w:type="dxa"/>
            <w:vMerge w:val="restart"/>
            <w:tcBorders>
              <w:top w:val="single" w:sz="4" w:space="0" w:color="000001"/>
              <w:left w:val="single" w:sz="4" w:space="0" w:color="000001"/>
              <w:bottom w:val="single" w:sz="4" w:space="0" w:color="000001"/>
              <w:insideH w:val="single" w:sz="4" w:space="0" w:color="000001"/>
            </w:tcBorders>
            <w:shd w:color="auto" w:fill="auto" w:val="clear"/>
            <w:tcMar>
              <w:left w:w="103" w:type="dxa"/>
            </w:tcMar>
          </w:tcPr>
          <w:p>
            <w:pPr>
              <w:pStyle w:val="Normal"/>
              <w:snapToGrid w:val="false"/>
              <w:ind w:left="-567" w:firstLine="709"/>
              <w:jc w:val="center"/>
              <w:rPr>
                <w:sz w:val="20"/>
                <w:szCs w:val="20"/>
                <w:lang w:eastAsia="ar-SA"/>
              </w:rPr>
            </w:pPr>
            <w:r>
              <w:rPr>
                <w:sz w:val="20"/>
                <w:szCs w:val="20"/>
                <w:lang w:eastAsia="ar-SA"/>
              </w:rPr>
            </w:r>
          </w:p>
          <w:p>
            <w:pPr>
              <w:pStyle w:val="Normal"/>
              <w:snapToGrid w:val="false"/>
              <w:ind w:left="-567" w:firstLine="709"/>
              <w:jc w:val="center"/>
              <w:rPr>
                <w:sz w:val="20"/>
                <w:szCs w:val="20"/>
                <w:lang w:eastAsia="ar-SA"/>
              </w:rPr>
            </w:pPr>
            <w:r>
              <w:rPr>
                <w:sz w:val="20"/>
                <w:szCs w:val="20"/>
                <w:lang w:eastAsia="ar-SA"/>
              </w:rPr>
            </w:r>
          </w:p>
          <w:p>
            <w:pPr>
              <w:pStyle w:val="Normal"/>
              <w:snapToGrid w:val="false"/>
              <w:ind w:left="-567" w:firstLine="709"/>
              <w:jc w:val="center"/>
              <w:rPr>
                <w:lang w:eastAsia="ar-SA"/>
              </w:rPr>
            </w:pPr>
            <w:r>
              <w:rPr>
                <w:lang w:eastAsia="ar-SA"/>
              </w:rPr>
              <w:t>ИГЭ</w:t>
            </w:r>
          </w:p>
        </w:tc>
        <w:tc>
          <w:tcPr>
            <w:tcW w:w="1452" w:type="dxa"/>
            <w:gridSpan w:val="2"/>
            <w:tcBorders>
              <w:top w:val="single" w:sz="4" w:space="0" w:color="000001"/>
              <w:left w:val="single" w:sz="4" w:space="0" w:color="000001"/>
              <w:bottom w:val="single" w:sz="4" w:space="0" w:color="000001"/>
              <w:insideH w:val="single" w:sz="4" w:space="0" w:color="000001"/>
            </w:tcBorders>
            <w:shd w:color="auto" w:fill="auto" w:val="clear"/>
            <w:tcMar>
              <w:left w:w="103" w:type="dxa"/>
            </w:tcMar>
          </w:tcPr>
          <w:p>
            <w:pPr>
              <w:pStyle w:val="Normal"/>
              <w:snapToGrid w:val="false"/>
              <w:ind w:left="-567" w:firstLine="709"/>
              <w:jc w:val="center"/>
              <w:rPr>
                <w:sz w:val="20"/>
                <w:szCs w:val="20"/>
                <w:lang w:eastAsia="ar-SA"/>
              </w:rPr>
            </w:pPr>
            <w:r>
              <w:rPr>
                <w:sz w:val="20"/>
                <w:szCs w:val="20"/>
                <w:lang w:eastAsia="ar-SA"/>
              </w:rPr>
              <w:t>Плотность</w:t>
            </w:r>
          </w:p>
          <w:p>
            <w:pPr>
              <w:pStyle w:val="Normal"/>
              <w:snapToGrid w:val="false"/>
              <w:ind w:hanging="0"/>
              <w:rPr>
                <w:sz w:val="20"/>
                <w:szCs w:val="20"/>
                <w:lang w:eastAsia="ar-SA"/>
              </w:rPr>
            </w:pPr>
            <w:r>
              <w:rPr>
                <w:sz w:val="20"/>
                <w:szCs w:val="20"/>
                <w:lang w:eastAsia="ar-SA"/>
              </w:rPr>
              <w:t xml:space="preserve"> </w:t>
            </w:r>
            <w:r>
              <w:rPr>
                <w:sz w:val="20"/>
                <w:szCs w:val="20"/>
                <w:lang w:eastAsia="ar-SA"/>
              </w:rPr>
              <w:t>грунта, г/см³</w:t>
            </w:r>
          </w:p>
        </w:tc>
        <w:tc>
          <w:tcPr>
            <w:tcW w:w="1667" w:type="dxa"/>
            <w:gridSpan w:val="2"/>
            <w:tcBorders>
              <w:top w:val="single" w:sz="4" w:space="0" w:color="000001"/>
              <w:left w:val="single" w:sz="4" w:space="0" w:color="000001"/>
              <w:bottom w:val="single" w:sz="4" w:space="0" w:color="000001"/>
              <w:insideH w:val="single" w:sz="4" w:space="0" w:color="000001"/>
            </w:tcBorders>
            <w:shd w:color="auto" w:fill="auto" w:val="clear"/>
            <w:tcMar>
              <w:left w:w="103" w:type="dxa"/>
            </w:tcMar>
          </w:tcPr>
          <w:p>
            <w:pPr>
              <w:pStyle w:val="Normal"/>
              <w:snapToGrid w:val="false"/>
              <w:ind w:left="-567" w:firstLine="709"/>
              <w:jc w:val="center"/>
              <w:rPr>
                <w:sz w:val="20"/>
                <w:szCs w:val="20"/>
                <w:lang w:eastAsia="ar-SA"/>
              </w:rPr>
            </w:pPr>
            <w:r>
              <w:rPr>
                <w:sz w:val="20"/>
                <w:szCs w:val="20"/>
                <w:lang w:eastAsia="ar-SA"/>
              </w:rPr>
              <w:t>Удельный вес,        кН/м³</w:t>
            </w:r>
          </w:p>
        </w:tc>
        <w:tc>
          <w:tcPr>
            <w:tcW w:w="1133" w:type="dxa"/>
            <w:vMerge w:val="restart"/>
            <w:tcBorders>
              <w:top w:val="single" w:sz="4" w:space="0" w:color="000001"/>
              <w:left w:val="single" w:sz="4" w:space="0" w:color="000001"/>
              <w:bottom w:val="single" w:sz="4" w:space="0" w:color="000001"/>
              <w:insideH w:val="single" w:sz="4" w:space="0" w:color="000001"/>
            </w:tcBorders>
            <w:shd w:color="auto" w:fill="auto" w:val="clear"/>
            <w:tcMar>
              <w:left w:w="103" w:type="dxa"/>
            </w:tcMar>
          </w:tcPr>
          <w:p>
            <w:pPr>
              <w:pStyle w:val="Normal"/>
              <w:snapToGrid w:val="false"/>
              <w:ind w:left="-567" w:firstLine="709"/>
              <w:jc w:val="center"/>
              <w:rPr>
                <w:sz w:val="20"/>
                <w:szCs w:val="20"/>
                <w:lang w:eastAsia="ar-SA"/>
              </w:rPr>
            </w:pPr>
            <w:r>
              <w:rPr>
                <w:sz w:val="20"/>
                <w:szCs w:val="20"/>
                <w:lang w:eastAsia="ar-SA"/>
              </w:rPr>
              <w:t xml:space="preserve">Угол </w:t>
            </w:r>
          </w:p>
          <w:p>
            <w:pPr>
              <w:pStyle w:val="Normal"/>
              <w:snapToGrid w:val="false"/>
              <w:ind w:left="-567" w:firstLine="709"/>
              <w:jc w:val="center"/>
              <w:rPr>
                <w:sz w:val="20"/>
                <w:szCs w:val="20"/>
                <w:lang w:eastAsia="ar-SA"/>
              </w:rPr>
            </w:pPr>
            <w:r>
              <w:rPr>
                <w:sz w:val="20"/>
                <w:szCs w:val="20"/>
                <w:lang w:eastAsia="ar-SA"/>
              </w:rPr>
              <w:t xml:space="preserve">внут. </w:t>
            </w:r>
          </w:p>
          <w:p>
            <w:pPr>
              <w:pStyle w:val="Normal"/>
              <w:snapToGrid w:val="false"/>
              <w:ind w:left="-567" w:firstLine="709"/>
              <w:jc w:val="center"/>
              <w:rPr>
                <w:sz w:val="20"/>
                <w:szCs w:val="20"/>
                <w:lang w:eastAsia="ar-SA"/>
              </w:rPr>
            </w:pPr>
            <w:r>
              <w:rPr>
                <w:sz w:val="20"/>
                <w:szCs w:val="20"/>
                <w:lang w:eastAsia="ar-SA"/>
              </w:rPr>
              <w:t xml:space="preserve">трения, </w:t>
            </w:r>
          </w:p>
          <w:p>
            <w:pPr>
              <w:pStyle w:val="Normal"/>
              <w:snapToGrid w:val="false"/>
              <w:ind w:hanging="0"/>
              <w:rPr>
                <w:sz w:val="20"/>
                <w:szCs w:val="20"/>
                <w:lang w:eastAsia="ar-SA"/>
              </w:rPr>
            </w:pPr>
            <w:r>
              <w:rPr>
                <w:sz w:val="20"/>
                <w:szCs w:val="20"/>
                <w:lang w:eastAsia="ar-SA"/>
              </w:rPr>
              <w:t xml:space="preserve">      </w:t>
            </w:r>
            <w:r>
              <w:rPr>
                <w:sz w:val="20"/>
                <w:szCs w:val="20"/>
                <w:lang w:eastAsia="ar-SA"/>
              </w:rPr>
              <w:t>град.</w:t>
            </w:r>
          </w:p>
        </w:tc>
        <w:tc>
          <w:tcPr>
            <w:tcW w:w="993" w:type="dxa"/>
            <w:vMerge w:val="restart"/>
            <w:tcBorders>
              <w:top w:val="single" w:sz="4" w:space="0" w:color="000001"/>
              <w:left w:val="single" w:sz="4" w:space="0" w:color="000001"/>
              <w:bottom w:val="single" w:sz="4" w:space="0" w:color="000001"/>
              <w:insideH w:val="single" w:sz="4" w:space="0" w:color="000001"/>
            </w:tcBorders>
            <w:shd w:color="auto" w:fill="auto" w:val="clear"/>
            <w:tcMar>
              <w:left w:w="103" w:type="dxa"/>
            </w:tcMar>
          </w:tcPr>
          <w:p>
            <w:pPr>
              <w:pStyle w:val="Normal"/>
              <w:snapToGrid w:val="false"/>
              <w:ind w:right="-108" w:hanging="0"/>
              <w:rPr>
                <w:sz w:val="20"/>
                <w:szCs w:val="20"/>
                <w:lang w:eastAsia="ar-SA"/>
              </w:rPr>
            </w:pPr>
            <w:r>
              <w:rPr>
                <w:sz w:val="20"/>
                <w:szCs w:val="20"/>
                <w:lang w:eastAsia="ar-SA"/>
              </w:rPr>
              <w:t>Удельн</w:t>
            </w:r>
          </w:p>
          <w:p>
            <w:pPr>
              <w:pStyle w:val="Normal"/>
              <w:snapToGrid w:val="false"/>
              <w:ind w:right="-108" w:hanging="0"/>
              <w:rPr>
                <w:sz w:val="20"/>
                <w:szCs w:val="20"/>
                <w:lang w:eastAsia="ar-SA"/>
              </w:rPr>
            </w:pPr>
            <w:r>
              <w:rPr>
                <w:sz w:val="20"/>
                <w:szCs w:val="20"/>
                <w:lang w:eastAsia="ar-SA"/>
              </w:rPr>
              <w:t xml:space="preserve">сцеп., </w:t>
            </w:r>
          </w:p>
          <w:p>
            <w:pPr>
              <w:pStyle w:val="Normal"/>
              <w:snapToGrid w:val="false"/>
              <w:ind w:right="-108" w:hanging="0"/>
              <w:rPr>
                <w:sz w:val="20"/>
                <w:szCs w:val="20"/>
                <w:lang w:eastAsia="ar-SA"/>
              </w:rPr>
            </w:pPr>
            <w:r>
              <w:rPr>
                <w:sz w:val="20"/>
                <w:szCs w:val="20"/>
                <w:lang w:eastAsia="ar-SA"/>
              </w:rPr>
              <w:t>кПа</w:t>
            </w:r>
          </w:p>
        </w:tc>
        <w:tc>
          <w:tcPr>
            <w:tcW w:w="1632" w:type="dxa"/>
            <w:gridSpan w:val="2"/>
            <w:tcBorders>
              <w:top w:val="single" w:sz="4" w:space="0" w:color="000001"/>
              <w:left w:val="single" w:sz="4" w:space="0" w:color="000001"/>
              <w:bottom w:val="single" w:sz="4" w:space="0" w:color="000001"/>
              <w:right w:val="single" w:sz="4" w:space="0" w:color="000001"/>
              <w:insideH w:val="single" w:sz="4" w:space="0" w:color="000001"/>
              <w:insideV w:val="single" w:sz="4" w:space="0" w:color="000001"/>
            </w:tcBorders>
            <w:shd w:color="auto" w:fill="auto" w:val="clear"/>
            <w:tcMar>
              <w:left w:w="103" w:type="dxa"/>
            </w:tcMar>
          </w:tcPr>
          <w:p>
            <w:pPr>
              <w:pStyle w:val="Normal"/>
              <w:snapToGrid w:val="false"/>
              <w:ind w:left="-567" w:firstLine="709"/>
              <w:jc w:val="center"/>
              <w:rPr>
                <w:sz w:val="20"/>
                <w:szCs w:val="20"/>
                <w:lang w:eastAsia="ar-SA"/>
              </w:rPr>
            </w:pPr>
            <w:r>
              <w:rPr>
                <w:sz w:val="20"/>
                <w:szCs w:val="20"/>
                <w:lang w:eastAsia="ar-SA"/>
              </w:rPr>
              <w:t xml:space="preserve">Модуль </w:t>
            </w:r>
          </w:p>
          <w:p>
            <w:pPr>
              <w:pStyle w:val="Normal"/>
              <w:snapToGrid w:val="false"/>
              <w:ind w:left="-567" w:firstLine="709"/>
              <w:jc w:val="center"/>
              <w:rPr>
                <w:sz w:val="20"/>
                <w:szCs w:val="20"/>
                <w:lang w:eastAsia="ar-SA"/>
              </w:rPr>
            </w:pPr>
            <w:r>
              <w:rPr>
                <w:sz w:val="20"/>
                <w:szCs w:val="20"/>
                <w:lang w:eastAsia="ar-SA"/>
              </w:rPr>
              <w:t>деформ., МПа</w:t>
            </w:r>
          </w:p>
        </w:tc>
      </w:tr>
      <w:tr>
        <w:trPr>
          <w:trHeight w:val="518" w:hRule="atLeast"/>
        </w:trPr>
        <w:tc>
          <w:tcPr>
            <w:tcW w:w="2852" w:type="dxa"/>
            <w:vMerge w:val="continue"/>
            <w:tcBorders>
              <w:top w:val="single" w:sz="4" w:space="0" w:color="000001"/>
              <w:left w:val="single" w:sz="4" w:space="0" w:color="000001"/>
              <w:bottom w:val="single" w:sz="4" w:space="0" w:color="000001"/>
              <w:insideH w:val="single" w:sz="4" w:space="0" w:color="000001"/>
            </w:tcBorders>
            <w:shd w:color="auto" w:fill="auto" w:val="clear"/>
            <w:tcMar>
              <w:left w:w="103" w:type="dxa"/>
            </w:tcMar>
          </w:tcPr>
          <w:p>
            <w:pPr>
              <w:pStyle w:val="Normal"/>
              <w:snapToGrid w:val="false"/>
              <w:ind w:left="-567" w:firstLine="709"/>
              <w:rPr>
                <w:lang w:eastAsia="ar-SA"/>
              </w:rPr>
            </w:pPr>
            <w:r>
              <w:rPr>
                <w:lang w:eastAsia="ar-SA"/>
              </w:rPr>
            </w:r>
          </w:p>
        </w:tc>
        <w:tc>
          <w:tcPr>
            <w:tcW w:w="709" w:type="dxa"/>
            <w:tcBorders>
              <w:left w:val="single" w:sz="4" w:space="0" w:color="000001"/>
              <w:bottom w:val="single" w:sz="4" w:space="0" w:color="000001"/>
              <w:insideH w:val="single" w:sz="4" w:space="0" w:color="000001"/>
            </w:tcBorders>
            <w:shd w:color="auto" w:fill="auto" w:val="clear"/>
            <w:tcMar>
              <w:left w:w="103" w:type="dxa"/>
            </w:tcMar>
          </w:tcPr>
          <w:p>
            <w:pPr>
              <w:pStyle w:val="Normal"/>
              <w:snapToGrid w:val="false"/>
              <w:ind w:hanging="0"/>
              <w:rPr>
                <w:sz w:val="20"/>
                <w:lang w:eastAsia="ar-SA"/>
              </w:rPr>
            </w:pPr>
            <w:r>
              <w:rPr>
                <w:sz w:val="20"/>
                <w:lang w:eastAsia="ar-SA"/>
              </w:rPr>
              <w:t>прир. влаж.</w:t>
            </w:r>
          </w:p>
        </w:tc>
        <w:tc>
          <w:tcPr>
            <w:tcW w:w="743" w:type="dxa"/>
            <w:tcBorders>
              <w:left w:val="single" w:sz="4" w:space="0" w:color="000001"/>
              <w:bottom w:val="single" w:sz="4" w:space="0" w:color="000001"/>
              <w:insideH w:val="single" w:sz="4" w:space="0" w:color="000001"/>
            </w:tcBorders>
            <w:shd w:color="auto" w:fill="auto" w:val="clear"/>
            <w:tcMar>
              <w:left w:w="103" w:type="dxa"/>
            </w:tcMar>
          </w:tcPr>
          <w:p>
            <w:pPr>
              <w:pStyle w:val="Normal"/>
              <w:snapToGrid w:val="false"/>
              <w:ind w:right="-108" w:hanging="0"/>
              <w:rPr>
                <w:sz w:val="20"/>
                <w:lang w:eastAsia="ar-SA"/>
              </w:rPr>
            </w:pPr>
            <w:r>
              <w:rPr>
                <w:sz w:val="20"/>
                <w:lang w:eastAsia="ar-SA"/>
              </w:rPr>
              <w:t>водон.</w:t>
            </w:r>
          </w:p>
        </w:tc>
        <w:tc>
          <w:tcPr>
            <w:tcW w:w="817" w:type="dxa"/>
            <w:tcBorders>
              <w:left w:val="single" w:sz="4" w:space="0" w:color="000001"/>
              <w:bottom w:val="single" w:sz="4" w:space="0" w:color="000001"/>
              <w:insideH w:val="single" w:sz="4" w:space="0" w:color="000001"/>
            </w:tcBorders>
            <w:shd w:color="auto" w:fill="auto" w:val="clear"/>
            <w:tcMar>
              <w:left w:w="103" w:type="dxa"/>
            </w:tcMar>
          </w:tcPr>
          <w:p>
            <w:pPr>
              <w:pStyle w:val="Normal"/>
              <w:snapToGrid w:val="false"/>
              <w:ind w:hanging="0"/>
              <w:rPr>
                <w:sz w:val="20"/>
                <w:lang w:eastAsia="ar-SA"/>
              </w:rPr>
            </w:pPr>
            <w:r>
              <w:rPr>
                <w:sz w:val="20"/>
                <w:lang w:eastAsia="ar-SA"/>
              </w:rPr>
              <w:t>прир. влаж.</w:t>
            </w:r>
          </w:p>
        </w:tc>
        <w:tc>
          <w:tcPr>
            <w:tcW w:w="850" w:type="dxa"/>
            <w:tcBorders>
              <w:left w:val="single" w:sz="4" w:space="0" w:color="000001"/>
              <w:bottom w:val="single" w:sz="4" w:space="0" w:color="000001"/>
              <w:insideH w:val="single" w:sz="4" w:space="0" w:color="000001"/>
            </w:tcBorders>
            <w:shd w:color="auto" w:fill="auto" w:val="clear"/>
            <w:tcMar>
              <w:left w:w="103" w:type="dxa"/>
            </w:tcMar>
          </w:tcPr>
          <w:p>
            <w:pPr>
              <w:pStyle w:val="Normal"/>
              <w:snapToGrid w:val="false"/>
              <w:ind w:hanging="0"/>
              <w:rPr>
                <w:sz w:val="20"/>
                <w:lang w:eastAsia="ar-SA"/>
              </w:rPr>
            </w:pPr>
            <w:r>
              <w:rPr>
                <w:sz w:val="20"/>
                <w:lang w:eastAsia="ar-SA"/>
              </w:rPr>
              <w:t>водон.</w:t>
            </w:r>
          </w:p>
        </w:tc>
        <w:tc>
          <w:tcPr>
            <w:tcW w:w="1133" w:type="dxa"/>
            <w:vMerge w:val="continue"/>
            <w:tcBorders>
              <w:top w:val="single" w:sz="4" w:space="0" w:color="000001"/>
              <w:left w:val="single" w:sz="4" w:space="0" w:color="000001"/>
              <w:bottom w:val="single" w:sz="4" w:space="0" w:color="000001"/>
              <w:insideH w:val="single" w:sz="4" w:space="0" w:color="000001"/>
            </w:tcBorders>
            <w:shd w:color="auto" w:fill="auto" w:val="clear"/>
            <w:tcMar>
              <w:left w:w="103" w:type="dxa"/>
            </w:tcMar>
          </w:tcPr>
          <w:p>
            <w:pPr>
              <w:pStyle w:val="Normal"/>
              <w:snapToGrid w:val="false"/>
              <w:ind w:left="-567" w:firstLine="709"/>
              <w:rPr>
                <w:lang w:eastAsia="ar-SA"/>
              </w:rPr>
            </w:pPr>
            <w:r>
              <w:rPr>
                <w:lang w:eastAsia="ar-SA"/>
              </w:rPr>
            </w:r>
          </w:p>
        </w:tc>
        <w:tc>
          <w:tcPr>
            <w:tcW w:w="993" w:type="dxa"/>
            <w:vMerge w:val="continue"/>
            <w:tcBorders>
              <w:top w:val="single" w:sz="4" w:space="0" w:color="000001"/>
              <w:left w:val="single" w:sz="4" w:space="0" w:color="000001"/>
              <w:bottom w:val="single" w:sz="4" w:space="0" w:color="000001"/>
              <w:insideH w:val="single" w:sz="4" w:space="0" w:color="000001"/>
            </w:tcBorders>
            <w:shd w:color="auto" w:fill="auto" w:val="clear"/>
            <w:tcMar>
              <w:left w:w="103" w:type="dxa"/>
            </w:tcMar>
          </w:tcPr>
          <w:p>
            <w:pPr>
              <w:pStyle w:val="Normal"/>
              <w:snapToGrid w:val="false"/>
              <w:ind w:left="-567" w:firstLine="709"/>
              <w:rPr>
                <w:lang w:eastAsia="ar-SA"/>
              </w:rPr>
            </w:pPr>
            <w:r>
              <w:rPr>
                <w:lang w:eastAsia="ar-SA"/>
              </w:rPr>
            </w:r>
          </w:p>
        </w:tc>
        <w:tc>
          <w:tcPr>
            <w:tcW w:w="709" w:type="dxa"/>
            <w:tcBorders>
              <w:left w:val="single" w:sz="4" w:space="0" w:color="000001"/>
              <w:bottom w:val="single" w:sz="4" w:space="0" w:color="000001"/>
              <w:insideH w:val="single" w:sz="4" w:space="0" w:color="000001"/>
            </w:tcBorders>
            <w:shd w:color="auto" w:fill="auto" w:val="clear"/>
            <w:tcMar>
              <w:left w:w="103" w:type="dxa"/>
            </w:tcMar>
          </w:tcPr>
          <w:p>
            <w:pPr>
              <w:pStyle w:val="Normal"/>
              <w:snapToGrid w:val="false"/>
              <w:ind w:hanging="0"/>
              <w:rPr>
                <w:sz w:val="20"/>
                <w:lang w:eastAsia="ar-SA"/>
              </w:rPr>
            </w:pPr>
            <w:r>
              <w:rPr>
                <w:sz w:val="20"/>
                <w:lang w:eastAsia="ar-SA"/>
              </w:rPr>
              <w:t>прир. влаж.</w:t>
            </w:r>
          </w:p>
        </w:tc>
        <w:tc>
          <w:tcPr>
            <w:tcW w:w="923" w:type="dxa"/>
            <w:tcBorders>
              <w:left w:val="single" w:sz="4" w:space="0" w:color="000001"/>
              <w:bottom w:val="single" w:sz="4" w:space="0" w:color="000001"/>
              <w:right w:val="single" w:sz="4" w:space="0" w:color="000001"/>
              <w:insideH w:val="single" w:sz="4" w:space="0" w:color="000001"/>
              <w:insideV w:val="single" w:sz="4" w:space="0" w:color="000001"/>
            </w:tcBorders>
            <w:shd w:color="auto" w:fill="auto" w:val="clear"/>
            <w:tcMar>
              <w:left w:w="103" w:type="dxa"/>
            </w:tcMar>
          </w:tcPr>
          <w:p>
            <w:pPr>
              <w:pStyle w:val="Normal"/>
              <w:snapToGrid w:val="false"/>
              <w:ind w:left="-567" w:firstLine="709"/>
              <w:jc w:val="center"/>
              <w:rPr>
                <w:sz w:val="20"/>
                <w:lang w:eastAsia="ar-SA"/>
              </w:rPr>
            </w:pPr>
            <w:r>
              <w:rPr>
                <w:sz w:val="20"/>
                <w:lang w:eastAsia="ar-SA"/>
              </w:rPr>
              <w:t>водон.</w:t>
            </w:r>
          </w:p>
        </w:tc>
      </w:tr>
      <w:tr>
        <w:trPr>
          <w:trHeight w:val="298" w:hRule="atLeast"/>
        </w:trPr>
        <w:tc>
          <w:tcPr>
            <w:tcW w:w="2852" w:type="dxa"/>
            <w:tcBorders>
              <w:left w:val="single" w:sz="4" w:space="0" w:color="000001"/>
            </w:tcBorders>
            <w:shd w:color="auto" w:fill="auto" w:val="clear"/>
            <w:tcMar>
              <w:left w:w="103" w:type="dxa"/>
            </w:tcMar>
          </w:tcPr>
          <w:p>
            <w:pPr>
              <w:pStyle w:val="Normal"/>
              <w:snapToGrid w:val="false"/>
              <w:ind w:left="-567" w:right="-108" w:firstLine="709"/>
              <w:rPr>
                <w:lang w:eastAsia="ar-SA"/>
              </w:rPr>
            </w:pPr>
            <w:r>
              <w:rPr>
                <w:lang w:eastAsia="ar-SA"/>
              </w:rPr>
              <w:t xml:space="preserve">ИГЭ 1 – </w:t>
            </w:r>
          </w:p>
          <w:p>
            <w:pPr>
              <w:pStyle w:val="Normal"/>
              <w:snapToGrid w:val="false"/>
              <w:ind w:left="-567" w:right="-108" w:firstLine="709"/>
              <w:rPr>
                <w:lang w:eastAsia="ar-SA"/>
              </w:rPr>
            </w:pPr>
            <w:r>
              <w:rPr>
                <w:lang w:eastAsia="ar-SA"/>
              </w:rPr>
              <w:t>насыпной грунт</w:t>
            </w:r>
          </w:p>
          <w:p>
            <w:pPr>
              <w:pStyle w:val="Normal"/>
              <w:snapToGrid w:val="false"/>
              <w:ind w:left="-567" w:right="-108" w:firstLine="709"/>
              <w:rPr>
                <w:lang w:eastAsia="ar-SA"/>
              </w:rPr>
            </w:pPr>
            <w:r>
              <w:rPr>
                <w:lang w:eastAsia="ar-SA"/>
              </w:rPr>
            </w:r>
          </w:p>
        </w:tc>
        <w:tc>
          <w:tcPr>
            <w:tcW w:w="709"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t>1,72</w:t>
            </w:r>
          </w:p>
        </w:tc>
        <w:tc>
          <w:tcPr>
            <w:tcW w:w="743"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tc>
        <w:tc>
          <w:tcPr>
            <w:tcW w:w="817"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t>16,86</w:t>
            </w:r>
          </w:p>
        </w:tc>
        <w:tc>
          <w:tcPr>
            <w:tcW w:w="850"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tc>
        <w:tc>
          <w:tcPr>
            <w:tcW w:w="1133" w:type="dxa"/>
            <w:tcBorders>
              <w:left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tc>
        <w:tc>
          <w:tcPr>
            <w:tcW w:w="993" w:type="dxa"/>
            <w:tcBorders>
              <w:left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tc>
        <w:tc>
          <w:tcPr>
            <w:tcW w:w="709" w:type="dxa"/>
            <w:tcBorders>
              <w:left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tc>
        <w:tc>
          <w:tcPr>
            <w:tcW w:w="923" w:type="dxa"/>
            <w:tcBorders>
              <w:left w:val="single" w:sz="4" w:space="0" w:color="000001"/>
              <w:right w:val="single" w:sz="4" w:space="0" w:color="000001"/>
              <w:insideV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tc>
      </w:tr>
      <w:tr>
        <w:trPr>
          <w:trHeight w:val="298" w:hRule="atLeast"/>
        </w:trPr>
        <w:tc>
          <w:tcPr>
            <w:tcW w:w="2852" w:type="dxa"/>
            <w:tcBorders>
              <w:left w:val="single" w:sz="4" w:space="0" w:color="000001"/>
            </w:tcBorders>
            <w:shd w:color="auto" w:fill="auto" w:val="clear"/>
            <w:tcMar>
              <w:left w:w="103" w:type="dxa"/>
            </w:tcMar>
          </w:tcPr>
          <w:p>
            <w:pPr>
              <w:pStyle w:val="Normal"/>
              <w:ind w:left="-567" w:right="-108" w:firstLine="709"/>
              <w:rPr>
                <w:lang w:eastAsia="ar-SA"/>
              </w:rPr>
            </w:pPr>
            <w:r>
              <w:rPr>
                <w:lang w:eastAsia="ar-SA"/>
              </w:rPr>
              <w:t xml:space="preserve">ИГЭ 2 – </w:t>
            </w:r>
          </w:p>
          <w:p>
            <w:pPr>
              <w:pStyle w:val="Normal"/>
              <w:ind w:left="-567" w:right="-108" w:firstLine="709"/>
              <w:rPr>
                <w:lang w:eastAsia="ar-SA"/>
              </w:rPr>
            </w:pPr>
            <w:r>
              <w:rPr>
                <w:lang w:eastAsia="ar-SA"/>
              </w:rPr>
              <w:t>суглинок твердый,</w:t>
            </w:r>
          </w:p>
          <w:p>
            <w:pPr>
              <w:pStyle w:val="Normal"/>
              <w:ind w:left="-567" w:right="-108" w:firstLine="709"/>
              <w:rPr>
                <w:lang w:eastAsia="ar-SA"/>
              </w:rPr>
            </w:pPr>
            <w:r>
              <w:rPr>
                <w:lang w:eastAsia="ar-SA"/>
              </w:rPr>
              <w:t xml:space="preserve"> </w:t>
            </w:r>
            <w:r>
              <w:rPr>
                <w:b/>
                <w:i/>
                <w:lang w:eastAsia="ar-SA"/>
              </w:rPr>
              <w:t>просадочный</w:t>
            </w:r>
          </w:p>
          <w:p>
            <w:pPr>
              <w:pStyle w:val="Normal"/>
              <w:ind w:left="-567" w:right="-108" w:firstLine="709"/>
              <w:rPr>
                <w:u w:val="single"/>
                <w:lang w:eastAsia="ar-SA"/>
              </w:rPr>
            </w:pPr>
            <w:r>
              <w:rPr>
                <w:sz w:val="20"/>
                <w:lang w:val="en-US"/>
              </w:rPr>
              <w:t>α</w:t>
            </w:r>
            <w:r>
              <w:rPr>
                <w:u w:val="single"/>
                <w:lang w:eastAsia="ar-SA"/>
              </w:rPr>
              <w:t xml:space="preserve"> =0,85</w:t>
            </w:r>
          </w:p>
          <w:p>
            <w:pPr>
              <w:pStyle w:val="Normal"/>
              <w:ind w:left="-567" w:right="-108" w:firstLine="709"/>
              <w:rPr>
                <w:lang w:eastAsia="ar-SA"/>
              </w:rPr>
            </w:pPr>
            <w:r>
              <w:rPr>
                <w:sz w:val="20"/>
                <w:lang w:val="en-US"/>
              </w:rPr>
              <w:t>α</w:t>
            </w:r>
            <w:r>
              <w:rPr>
                <w:lang w:eastAsia="ar-SA"/>
              </w:rPr>
              <w:t xml:space="preserve"> =0,95</w:t>
            </w:r>
          </w:p>
          <w:p>
            <w:pPr>
              <w:pStyle w:val="Normal"/>
              <w:snapToGrid w:val="false"/>
              <w:ind w:left="-567" w:right="-108" w:firstLine="709"/>
              <w:rPr>
                <w:lang w:eastAsia="ar-SA"/>
              </w:rPr>
            </w:pPr>
            <w:r>
              <w:rPr>
                <w:lang w:eastAsia="ar-SA"/>
              </w:rPr>
            </w:r>
          </w:p>
        </w:tc>
        <w:tc>
          <w:tcPr>
            <w:tcW w:w="709"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u w:val="single"/>
                <w:lang w:eastAsia="ar-SA"/>
              </w:rPr>
            </w:pPr>
            <w:r>
              <w:rPr>
                <w:u w:val="single"/>
                <w:lang w:eastAsia="ar-SA"/>
              </w:rPr>
              <w:t>1,79</w:t>
            </w:r>
          </w:p>
          <w:p>
            <w:pPr>
              <w:pStyle w:val="Normal"/>
              <w:snapToGrid w:val="false"/>
              <w:ind w:left="-929" w:right="-108" w:firstLine="709"/>
              <w:jc w:val="center"/>
              <w:rPr>
                <w:lang w:eastAsia="ar-SA"/>
              </w:rPr>
            </w:pPr>
            <w:r>
              <w:rPr>
                <w:lang w:eastAsia="ar-SA"/>
              </w:rPr>
              <w:t>1,78</w:t>
            </w:r>
          </w:p>
        </w:tc>
        <w:tc>
          <w:tcPr>
            <w:tcW w:w="743"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u w:val="single"/>
                <w:lang w:eastAsia="ar-SA"/>
              </w:rPr>
            </w:pPr>
            <w:r>
              <w:rPr>
                <w:u w:val="single"/>
                <w:lang w:eastAsia="ar-SA"/>
              </w:rPr>
              <w:t>1,91</w:t>
            </w:r>
          </w:p>
          <w:p>
            <w:pPr>
              <w:pStyle w:val="Normal"/>
              <w:snapToGrid w:val="false"/>
              <w:ind w:left="-929" w:right="-108" w:firstLine="709"/>
              <w:jc w:val="center"/>
              <w:rPr>
                <w:lang w:eastAsia="ar-SA"/>
              </w:rPr>
            </w:pPr>
            <w:r>
              <w:rPr>
                <w:lang w:eastAsia="ar-SA"/>
              </w:rPr>
              <w:t>1,90</w:t>
            </w:r>
          </w:p>
        </w:tc>
        <w:tc>
          <w:tcPr>
            <w:tcW w:w="817"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u w:val="single"/>
                <w:lang w:eastAsia="ar-SA"/>
              </w:rPr>
            </w:pPr>
            <w:r>
              <w:rPr>
                <w:u w:val="single"/>
                <w:lang w:eastAsia="ar-SA"/>
              </w:rPr>
              <w:t>17,54</w:t>
            </w:r>
          </w:p>
          <w:p>
            <w:pPr>
              <w:pStyle w:val="Normal"/>
              <w:snapToGrid w:val="false"/>
              <w:ind w:left="-929" w:right="-108" w:firstLine="709"/>
              <w:jc w:val="center"/>
              <w:rPr>
                <w:lang w:eastAsia="ar-SA"/>
              </w:rPr>
            </w:pPr>
            <w:r>
              <w:rPr>
                <w:lang w:eastAsia="ar-SA"/>
              </w:rPr>
              <w:t>17,44</w:t>
            </w:r>
          </w:p>
          <w:p>
            <w:pPr>
              <w:pStyle w:val="Normal"/>
              <w:snapToGrid w:val="false"/>
              <w:ind w:left="-929" w:right="-108" w:firstLine="709"/>
              <w:jc w:val="center"/>
              <w:rPr>
                <w:lang w:eastAsia="ar-SA"/>
              </w:rPr>
            </w:pPr>
            <w:r>
              <w:rPr>
                <w:lang w:eastAsia="ar-SA"/>
              </w:rPr>
            </w:r>
          </w:p>
        </w:tc>
        <w:tc>
          <w:tcPr>
            <w:tcW w:w="850"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u w:val="single"/>
                <w:lang w:eastAsia="ar-SA"/>
              </w:rPr>
            </w:pPr>
            <w:r>
              <w:rPr>
                <w:u w:val="single"/>
                <w:lang w:eastAsia="ar-SA"/>
              </w:rPr>
              <w:t>18,72</w:t>
            </w:r>
          </w:p>
          <w:p>
            <w:pPr>
              <w:pStyle w:val="Normal"/>
              <w:snapToGrid w:val="false"/>
              <w:ind w:left="-929" w:right="-108" w:firstLine="709"/>
              <w:jc w:val="center"/>
              <w:rPr>
                <w:lang w:eastAsia="ar-SA"/>
              </w:rPr>
            </w:pPr>
            <w:r>
              <w:rPr>
                <w:lang w:eastAsia="ar-SA"/>
              </w:rPr>
              <w:t>18,62</w:t>
            </w:r>
          </w:p>
          <w:p>
            <w:pPr>
              <w:pStyle w:val="Normal"/>
              <w:snapToGrid w:val="false"/>
              <w:ind w:left="-929" w:right="-108" w:firstLine="709"/>
              <w:jc w:val="center"/>
              <w:rPr>
                <w:lang w:eastAsia="ar-SA"/>
              </w:rPr>
            </w:pPr>
            <w:r>
              <w:rPr>
                <w:lang w:eastAsia="ar-SA"/>
              </w:rPr>
            </w:r>
          </w:p>
        </w:tc>
        <w:tc>
          <w:tcPr>
            <w:tcW w:w="1133" w:type="dxa"/>
            <w:tcBorders>
              <w:left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r>
          </w:p>
          <w:p>
            <w:pPr>
              <w:pStyle w:val="Normal"/>
              <w:snapToGrid w:val="false"/>
              <w:ind w:left="-929" w:right="-108" w:firstLine="709"/>
              <w:jc w:val="center"/>
              <w:rPr>
                <w:u w:val="single"/>
                <w:lang w:eastAsia="ar-SA"/>
              </w:rPr>
            </w:pPr>
            <w:r>
              <w:rPr>
                <w:u w:val="single"/>
                <w:lang w:eastAsia="ar-SA"/>
              </w:rPr>
              <w:t>23</w:t>
            </w:r>
          </w:p>
          <w:p>
            <w:pPr>
              <w:pStyle w:val="Normal"/>
              <w:snapToGrid w:val="false"/>
              <w:ind w:left="-929" w:firstLine="709"/>
              <w:jc w:val="center"/>
              <w:rPr>
                <w:lang w:eastAsia="ar-SA"/>
              </w:rPr>
            </w:pPr>
            <w:r>
              <w:rPr>
                <w:lang w:eastAsia="ar-SA"/>
              </w:rPr>
              <w:t>22</w:t>
            </w:r>
          </w:p>
        </w:tc>
        <w:tc>
          <w:tcPr>
            <w:tcW w:w="993" w:type="dxa"/>
            <w:tcBorders>
              <w:left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r>
          </w:p>
          <w:p>
            <w:pPr>
              <w:pStyle w:val="Normal"/>
              <w:snapToGrid w:val="false"/>
              <w:ind w:left="-929" w:right="-108" w:firstLine="709"/>
              <w:jc w:val="center"/>
              <w:rPr>
                <w:u w:val="single"/>
                <w:lang w:eastAsia="ar-SA"/>
              </w:rPr>
            </w:pPr>
            <w:r>
              <w:rPr>
                <w:u w:val="single"/>
                <w:lang w:eastAsia="ar-SA"/>
              </w:rPr>
              <w:t>11</w:t>
            </w:r>
          </w:p>
          <w:p>
            <w:pPr>
              <w:pStyle w:val="Normal"/>
              <w:snapToGrid w:val="false"/>
              <w:ind w:left="-929" w:firstLine="709"/>
              <w:jc w:val="center"/>
              <w:rPr>
                <w:lang w:eastAsia="ar-SA"/>
              </w:rPr>
            </w:pPr>
            <w:r>
              <w:rPr>
                <w:lang w:eastAsia="ar-SA"/>
              </w:rPr>
              <w:t>10</w:t>
            </w:r>
          </w:p>
        </w:tc>
        <w:tc>
          <w:tcPr>
            <w:tcW w:w="709" w:type="dxa"/>
            <w:tcBorders>
              <w:left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t>24</w:t>
            </w:r>
          </w:p>
        </w:tc>
        <w:tc>
          <w:tcPr>
            <w:tcW w:w="923" w:type="dxa"/>
            <w:tcBorders>
              <w:left w:val="single" w:sz="4" w:space="0" w:color="000001"/>
              <w:right w:val="single" w:sz="4" w:space="0" w:color="000001"/>
              <w:insideV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r>
          </w:p>
          <w:p>
            <w:pPr>
              <w:pStyle w:val="Normal"/>
              <w:snapToGrid w:val="false"/>
              <w:ind w:left="-929" w:firstLine="709"/>
              <w:jc w:val="center"/>
              <w:rPr>
                <w:lang w:eastAsia="ar-SA"/>
              </w:rPr>
            </w:pPr>
            <w:r>
              <w:rPr>
                <w:lang w:eastAsia="ar-SA"/>
              </w:rPr>
              <w:t>18</w:t>
            </w:r>
          </w:p>
        </w:tc>
      </w:tr>
      <w:tr>
        <w:trPr>
          <w:trHeight w:val="298" w:hRule="atLeast"/>
        </w:trPr>
        <w:tc>
          <w:tcPr>
            <w:tcW w:w="2852" w:type="dxa"/>
            <w:tcBorders>
              <w:left w:val="single" w:sz="4" w:space="0" w:color="000001"/>
            </w:tcBorders>
            <w:shd w:color="auto" w:fill="auto" w:val="clear"/>
            <w:tcMar>
              <w:left w:w="103" w:type="dxa"/>
            </w:tcMar>
          </w:tcPr>
          <w:p>
            <w:pPr>
              <w:pStyle w:val="Normal"/>
              <w:ind w:left="-567" w:right="-108" w:firstLine="709"/>
              <w:rPr>
                <w:lang w:eastAsia="ar-SA"/>
              </w:rPr>
            </w:pPr>
            <w:r>
              <w:rPr>
                <w:lang w:eastAsia="ar-SA"/>
              </w:rPr>
              <w:t xml:space="preserve">ИГЭ 3 – суглинок полутвердый, </w:t>
            </w:r>
            <w:r>
              <w:rPr>
                <w:b/>
                <w:i/>
                <w:lang w:eastAsia="ar-SA"/>
              </w:rPr>
              <w:t>непросадочный</w:t>
            </w:r>
          </w:p>
          <w:p>
            <w:pPr>
              <w:pStyle w:val="Normal"/>
              <w:ind w:left="-567" w:right="-108" w:firstLine="709"/>
              <w:rPr>
                <w:u w:val="single"/>
                <w:lang w:eastAsia="ar-SA"/>
              </w:rPr>
            </w:pPr>
            <w:r>
              <w:rPr>
                <w:sz w:val="20"/>
                <w:lang w:val="en-US"/>
              </w:rPr>
              <w:t>α</w:t>
            </w:r>
            <w:r>
              <w:rPr>
                <w:u w:val="single"/>
                <w:lang w:eastAsia="ar-SA"/>
              </w:rPr>
              <w:t xml:space="preserve"> =0,85</w:t>
            </w:r>
          </w:p>
          <w:p>
            <w:pPr>
              <w:pStyle w:val="Normal"/>
              <w:ind w:left="-567" w:right="-108" w:firstLine="709"/>
              <w:rPr>
                <w:lang w:eastAsia="ar-SA"/>
              </w:rPr>
            </w:pPr>
            <w:r>
              <w:rPr>
                <w:sz w:val="20"/>
                <w:lang w:val="en-US"/>
              </w:rPr>
              <w:t>α</w:t>
            </w:r>
            <w:r>
              <w:rPr>
                <w:lang w:eastAsia="ar-SA"/>
              </w:rPr>
              <w:t xml:space="preserve"> =0,95</w:t>
            </w:r>
          </w:p>
          <w:p>
            <w:pPr>
              <w:pStyle w:val="Normal"/>
              <w:snapToGrid w:val="false"/>
              <w:ind w:left="-567" w:right="-108" w:firstLine="709"/>
              <w:rPr>
                <w:lang w:eastAsia="ar-SA"/>
              </w:rPr>
            </w:pPr>
            <w:r>
              <w:rPr>
                <w:lang w:eastAsia="ar-SA"/>
              </w:rPr>
            </w:r>
          </w:p>
        </w:tc>
        <w:tc>
          <w:tcPr>
            <w:tcW w:w="709"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hanging="0"/>
              <w:rPr>
                <w:lang w:eastAsia="ar-SA"/>
              </w:rPr>
            </w:pPr>
            <w:r>
              <w:rPr>
                <w:lang w:eastAsia="ar-SA"/>
              </w:rPr>
            </w:r>
          </w:p>
          <w:p>
            <w:pPr>
              <w:pStyle w:val="Normal"/>
              <w:snapToGrid w:val="false"/>
              <w:ind w:left="-929" w:right="-108" w:firstLine="709"/>
              <w:jc w:val="center"/>
              <w:rPr>
                <w:u w:val="single"/>
                <w:lang w:eastAsia="ar-SA"/>
              </w:rPr>
            </w:pPr>
            <w:r>
              <w:rPr>
                <w:u w:val="single"/>
                <w:lang w:eastAsia="ar-SA"/>
              </w:rPr>
              <w:t>1,83</w:t>
            </w:r>
          </w:p>
          <w:p>
            <w:pPr>
              <w:pStyle w:val="Normal"/>
              <w:snapToGrid w:val="false"/>
              <w:ind w:left="-929" w:right="-108" w:firstLine="709"/>
              <w:jc w:val="center"/>
              <w:rPr>
                <w:lang w:eastAsia="ar-SA"/>
              </w:rPr>
            </w:pPr>
            <w:r>
              <w:rPr>
                <w:lang w:eastAsia="ar-SA"/>
              </w:rPr>
              <w:t>1,82</w:t>
            </w:r>
          </w:p>
        </w:tc>
        <w:tc>
          <w:tcPr>
            <w:tcW w:w="743"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hanging="0"/>
              <w:rPr>
                <w:lang w:eastAsia="ar-SA"/>
              </w:rPr>
            </w:pPr>
            <w:r>
              <w:rPr>
                <w:lang w:eastAsia="ar-SA"/>
              </w:rPr>
            </w:r>
          </w:p>
          <w:p>
            <w:pPr>
              <w:pStyle w:val="Normal"/>
              <w:snapToGrid w:val="false"/>
              <w:ind w:left="-929" w:right="-108" w:firstLine="709"/>
              <w:jc w:val="center"/>
              <w:rPr>
                <w:u w:val="single"/>
                <w:lang w:eastAsia="ar-SA"/>
              </w:rPr>
            </w:pPr>
            <w:r>
              <w:rPr>
                <w:u w:val="single"/>
                <w:lang w:eastAsia="ar-SA"/>
              </w:rPr>
              <w:t>1,93</w:t>
            </w:r>
          </w:p>
          <w:p>
            <w:pPr>
              <w:pStyle w:val="Normal"/>
              <w:snapToGrid w:val="false"/>
              <w:ind w:left="-929" w:right="-108" w:firstLine="709"/>
              <w:jc w:val="center"/>
              <w:rPr>
                <w:lang w:eastAsia="ar-SA"/>
              </w:rPr>
            </w:pPr>
            <w:r>
              <w:rPr>
                <w:lang w:eastAsia="ar-SA"/>
              </w:rPr>
              <w:t>1,92</w:t>
            </w:r>
          </w:p>
        </w:tc>
        <w:tc>
          <w:tcPr>
            <w:tcW w:w="817"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hanging="0"/>
              <w:rPr>
                <w:lang w:eastAsia="ar-SA"/>
              </w:rPr>
            </w:pPr>
            <w:r>
              <w:rPr>
                <w:lang w:eastAsia="ar-SA"/>
              </w:rPr>
            </w:r>
          </w:p>
          <w:p>
            <w:pPr>
              <w:pStyle w:val="Normal"/>
              <w:snapToGrid w:val="false"/>
              <w:ind w:left="-929" w:right="-108" w:firstLine="709"/>
              <w:jc w:val="center"/>
              <w:rPr>
                <w:u w:val="single"/>
                <w:lang w:eastAsia="ar-SA"/>
              </w:rPr>
            </w:pPr>
            <w:r>
              <w:rPr>
                <w:u w:val="single"/>
                <w:lang w:eastAsia="ar-SA"/>
              </w:rPr>
              <w:t>17,93</w:t>
            </w:r>
          </w:p>
          <w:p>
            <w:pPr>
              <w:pStyle w:val="Normal"/>
              <w:snapToGrid w:val="false"/>
              <w:ind w:left="-929" w:right="-108" w:firstLine="709"/>
              <w:jc w:val="center"/>
              <w:rPr>
                <w:lang w:eastAsia="ar-SA"/>
              </w:rPr>
            </w:pPr>
            <w:r>
              <w:rPr>
                <w:lang w:eastAsia="ar-SA"/>
              </w:rPr>
              <w:t>17,93</w:t>
            </w:r>
          </w:p>
          <w:p>
            <w:pPr>
              <w:pStyle w:val="Normal"/>
              <w:snapToGrid w:val="false"/>
              <w:ind w:left="-929" w:right="-108" w:firstLine="709"/>
              <w:jc w:val="center"/>
              <w:rPr>
                <w:lang w:eastAsia="ar-SA"/>
              </w:rPr>
            </w:pPr>
            <w:r>
              <w:rPr>
                <w:lang w:eastAsia="ar-SA"/>
              </w:rPr>
            </w:r>
          </w:p>
        </w:tc>
        <w:tc>
          <w:tcPr>
            <w:tcW w:w="850" w:type="dxa"/>
            <w:tcBorders>
              <w:left w:val="single" w:sz="4" w:space="0" w:color="000001"/>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hanging="0"/>
              <w:rPr>
                <w:lang w:eastAsia="ar-SA"/>
              </w:rPr>
            </w:pPr>
            <w:r>
              <w:rPr>
                <w:lang w:eastAsia="ar-SA"/>
              </w:rPr>
            </w:r>
          </w:p>
          <w:p>
            <w:pPr>
              <w:pStyle w:val="Normal"/>
              <w:snapToGrid w:val="false"/>
              <w:ind w:left="-929" w:right="-108" w:firstLine="709"/>
              <w:jc w:val="center"/>
              <w:rPr>
                <w:u w:val="single"/>
                <w:lang w:eastAsia="ar-SA"/>
              </w:rPr>
            </w:pPr>
            <w:r>
              <w:rPr>
                <w:u w:val="single"/>
                <w:lang w:eastAsia="ar-SA"/>
              </w:rPr>
              <w:t>18,91</w:t>
            </w:r>
          </w:p>
          <w:p>
            <w:pPr>
              <w:pStyle w:val="Normal"/>
              <w:snapToGrid w:val="false"/>
              <w:ind w:left="-929" w:right="-108" w:firstLine="709"/>
              <w:jc w:val="center"/>
              <w:rPr>
                <w:lang w:eastAsia="ar-SA"/>
              </w:rPr>
            </w:pPr>
            <w:r>
              <w:rPr>
                <w:lang w:eastAsia="ar-SA"/>
              </w:rPr>
              <w:t>18,82</w:t>
            </w:r>
          </w:p>
          <w:p>
            <w:pPr>
              <w:pStyle w:val="Normal"/>
              <w:snapToGrid w:val="false"/>
              <w:ind w:left="-929" w:right="-108" w:firstLine="709"/>
              <w:jc w:val="center"/>
              <w:rPr>
                <w:lang w:eastAsia="ar-SA"/>
              </w:rPr>
            </w:pPr>
            <w:r>
              <w:rPr>
                <w:lang w:eastAsia="ar-SA"/>
              </w:rPr>
            </w:r>
          </w:p>
        </w:tc>
        <w:tc>
          <w:tcPr>
            <w:tcW w:w="1133" w:type="dxa"/>
            <w:tcBorders>
              <w:left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hanging="0"/>
              <w:rPr>
                <w:lang w:eastAsia="ar-SA"/>
              </w:rPr>
            </w:pPr>
            <w:r>
              <w:rPr>
                <w:lang w:eastAsia="ar-SA"/>
              </w:rPr>
            </w:r>
          </w:p>
          <w:p>
            <w:pPr>
              <w:pStyle w:val="Normal"/>
              <w:snapToGrid w:val="false"/>
              <w:ind w:left="-929" w:right="-108" w:firstLine="709"/>
              <w:jc w:val="center"/>
              <w:rPr>
                <w:u w:val="single"/>
                <w:lang w:eastAsia="ar-SA"/>
              </w:rPr>
            </w:pPr>
            <w:r>
              <w:rPr>
                <w:u w:val="single"/>
                <w:lang w:eastAsia="ar-SA"/>
              </w:rPr>
              <w:t>22</w:t>
            </w:r>
          </w:p>
          <w:p>
            <w:pPr>
              <w:pStyle w:val="Normal"/>
              <w:snapToGrid w:val="false"/>
              <w:ind w:left="-929" w:firstLine="709"/>
              <w:jc w:val="center"/>
              <w:rPr>
                <w:lang w:eastAsia="ar-SA"/>
              </w:rPr>
            </w:pPr>
            <w:r>
              <w:rPr>
                <w:lang w:eastAsia="ar-SA"/>
              </w:rPr>
              <w:t>22</w:t>
            </w:r>
          </w:p>
        </w:tc>
        <w:tc>
          <w:tcPr>
            <w:tcW w:w="993" w:type="dxa"/>
            <w:tcBorders>
              <w:left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hanging="0"/>
              <w:rPr>
                <w:lang w:eastAsia="ar-SA"/>
              </w:rPr>
            </w:pPr>
            <w:r>
              <w:rPr>
                <w:lang w:eastAsia="ar-SA"/>
              </w:rPr>
            </w:r>
          </w:p>
          <w:p>
            <w:pPr>
              <w:pStyle w:val="Normal"/>
              <w:snapToGrid w:val="false"/>
              <w:ind w:left="-929" w:right="-108" w:firstLine="709"/>
              <w:jc w:val="center"/>
              <w:rPr>
                <w:u w:val="single"/>
                <w:lang w:eastAsia="ar-SA"/>
              </w:rPr>
            </w:pPr>
            <w:r>
              <w:rPr>
                <w:u w:val="single"/>
                <w:lang w:eastAsia="ar-SA"/>
              </w:rPr>
              <w:t>14</w:t>
            </w:r>
          </w:p>
          <w:p>
            <w:pPr>
              <w:pStyle w:val="Normal"/>
              <w:snapToGrid w:val="false"/>
              <w:ind w:left="-929" w:firstLine="709"/>
              <w:jc w:val="center"/>
              <w:rPr>
                <w:lang w:eastAsia="ar-SA"/>
              </w:rPr>
            </w:pPr>
            <w:r>
              <w:rPr>
                <w:lang w:eastAsia="ar-SA"/>
              </w:rPr>
              <w:t>12</w:t>
            </w:r>
          </w:p>
        </w:tc>
        <w:tc>
          <w:tcPr>
            <w:tcW w:w="709" w:type="dxa"/>
            <w:tcBorders>
              <w:left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hanging="0"/>
              <w:rPr>
                <w:lang w:eastAsia="ar-SA"/>
              </w:rPr>
            </w:pPr>
            <w:r>
              <w:rPr>
                <w:lang w:eastAsia="ar-SA"/>
              </w:rPr>
            </w:r>
          </w:p>
          <w:p>
            <w:pPr>
              <w:pStyle w:val="Normal"/>
              <w:snapToGrid w:val="false"/>
              <w:ind w:left="-929" w:firstLine="709"/>
              <w:jc w:val="center"/>
              <w:rPr>
                <w:lang w:eastAsia="ar-SA"/>
              </w:rPr>
            </w:pPr>
            <w:r>
              <w:rPr>
                <w:lang w:eastAsia="ar-SA"/>
              </w:rPr>
              <w:t>27</w:t>
            </w:r>
          </w:p>
        </w:tc>
        <w:tc>
          <w:tcPr>
            <w:tcW w:w="923" w:type="dxa"/>
            <w:tcBorders>
              <w:left w:val="single" w:sz="4" w:space="0" w:color="000001"/>
              <w:right w:val="single" w:sz="4" w:space="0" w:color="000001"/>
              <w:insideV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hanging="0"/>
              <w:rPr>
                <w:lang w:eastAsia="ar-SA"/>
              </w:rPr>
            </w:pPr>
            <w:r>
              <w:rPr>
                <w:lang w:eastAsia="ar-SA"/>
              </w:rPr>
            </w:r>
          </w:p>
          <w:p>
            <w:pPr>
              <w:pStyle w:val="Normal"/>
              <w:snapToGrid w:val="false"/>
              <w:ind w:left="-929" w:firstLine="709"/>
              <w:jc w:val="center"/>
              <w:rPr>
                <w:lang w:eastAsia="ar-SA"/>
              </w:rPr>
            </w:pPr>
            <w:r>
              <w:rPr>
                <w:lang w:eastAsia="ar-SA"/>
              </w:rPr>
              <w:t>22</w:t>
            </w:r>
          </w:p>
        </w:tc>
      </w:tr>
      <w:tr>
        <w:trPr>
          <w:trHeight w:val="1079" w:hRule="atLeast"/>
        </w:trPr>
        <w:tc>
          <w:tcPr>
            <w:tcW w:w="2852" w:type="dxa"/>
            <w:tcBorders>
              <w:left w:val="single" w:sz="4" w:space="0" w:color="000001"/>
              <w:bottom w:val="single" w:sz="4" w:space="0" w:color="00000A"/>
              <w:insideH w:val="single" w:sz="4" w:space="0" w:color="00000A"/>
            </w:tcBorders>
            <w:shd w:color="auto" w:fill="auto" w:val="clear"/>
            <w:tcMar>
              <w:left w:w="103" w:type="dxa"/>
            </w:tcMar>
          </w:tcPr>
          <w:p>
            <w:pPr>
              <w:pStyle w:val="Normal"/>
              <w:ind w:left="-567" w:right="-108" w:firstLine="709"/>
              <w:rPr>
                <w:lang w:eastAsia="ar-SA"/>
              </w:rPr>
            </w:pPr>
            <w:r>
              <w:rPr>
                <w:lang w:eastAsia="ar-SA"/>
              </w:rPr>
              <w:t>ИГЭ 4 – песок пылеватый, плотный</w:t>
            </w:r>
          </w:p>
          <w:p>
            <w:pPr>
              <w:pStyle w:val="Normal"/>
              <w:ind w:left="-567" w:right="-108" w:firstLine="709"/>
              <w:rPr>
                <w:u w:val="single"/>
                <w:lang w:eastAsia="ar-SA"/>
              </w:rPr>
            </w:pPr>
            <w:r>
              <w:rPr>
                <w:sz w:val="20"/>
                <w:lang w:val="en-US"/>
              </w:rPr>
              <w:t>α</w:t>
            </w:r>
            <w:r>
              <w:rPr>
                <w:u w:val="single"/>
                <w:lang w:eastAsia="ar-SA"/>
              </w:rPr>
              <w:t xml:space="preserve"> =0,85</w:t>
            </w:r>
          </w:p>
          <w:p>
            <w:pPr>
              <w:pStyle w:val="Normal"/>
              <w:ind w:left="-567" w:right="-108" w:firstLine="709"/>
              <w:rPr>
                <w:lang w:eastAsia="ar-SA"/>
              </w:rPr>
            </w:pPr>
            <w:r>
              <w:rPr>
                <w:sz w:val="20"/>
                <w:lang w:val="en-US"/>
              </w:rPr>
              <w:t>α</w:t>
            </w:r>
            <w:r>
              <w:rPr>
                <w:lang w:eastAsia="ar-SA"/>
              </w:rPr>
              <w:t xml:space="preserve"> =0,95</w:t>
            </w:r>
          </w:p>
        </w:tc>
        <w:tc>
          <w:tcPr>
            <w:tcW w:w="709" w:type="dxa"/>
            <w:tcBorders>
              <w:left w:val="single" w:sz="4" w:space="0" w:color="000001"/>
              <w:bottom w:val="single" w:sz="4" w:space="0" w:color="00000A"/>
              <w:insideH w:val="single" w:sz="4" w:space="0" w:color="00000A"/>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hanging="0"/>
              <w:rPr>
                <w:lang w:eastAsia="ar-SA"/>
              </w:rPr>
            </w:pPr>
            <w:r>
              <w:rPr>
                <w:lang w:eastAsia="ar-SA"/>
              </w:rPr>
            </w:r>
          </w:p>
          <w:p>
            <w:pPr>
              <w:pStyle w:val="Normal"/>
              <w:snapToGrid w:val="false"/>
              <w:ind w:left="-929" w:right="-108" w:firstLine="709"/>
              <w:jc w:val="center"/>
              <w:rPr>
                <w:u w:val="single"/>
                <w:lang w:eastAsia="ar-SA"/>
              </w:rPr>
            </w:pPr>
            <w:r>
              <w:rPr>
                <w:u w:val="single"/>
                <w:lang w:eastAsia="ar-SA"/>
              </w:rPr>
              <w:t>1,80</w:t>
            </w:r>
          </w:p>
          <w:p>
            <w:pPr>
              <w:pStyle w:val="Normal"/>
              <w:snapToGrid w:val="false"/>
              <w:ind w:left="-929" w:right="-108" w:firstLine="709"/>
              <w:jc w:val="center"/>
              <w:rPr>
                <w:lang w:eastAsia="ar-SA"/>
              </w:rPr>
            </w:pPr>
            <w:r>
              <w:rPr>
                <w:lang w:eastAsia="ar-SA"/>
              </w:rPr>
              <w:t>1,79</w:t>
            </w:r>
          </w:p>
        </w:tc>
        <w:tc>
          <w:tcPr>
            <w:tcW w:w="743" w:type="dxa"/>
            <w:tcBorders>
              <w:left w:val="single" w:sz="4" w:space="0" w:color="000001"/>
              <w:bottom w:val="single" w:sz="4" w:space="0" w:color="00000A"/>
              <w:insideH w:val="single" w:sz="4" w:space="0" w:color="00000A"/>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tc>
        <w:tc>
          <w:tcPr>
            <w:tcW w:w="817" w:type="dxa"/>
            <w:tcBorders>
              <w:left w:val="single" w:sz="4" w:space="0" w:color="000001"/>
              <w:bottom w:val="single" w:sz="4" w:space="0" w:color="00000A"/>
              <w:insideH w:val="single" w:sz="4" w:space="0" w:color="00000A"/>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hanging="0"/>
              <w:rPr>
                <w:lang w:eastAsia="ar-SA"/>
              </w:rPr>
            </w:pPr>
            <w:r>
              <w:rPr>
                <w:lang w:eastAsia="ar-SA"/>
              </w:rPr>
            </w:r>
          </w:p>
          <w:p>
            <w:pPr>
              <w:pStyle w:val="Normal"/>
              <w:snapToGrid w:val="false"/>
              <w:ind w:left="-929" w:right="-108" w:firstLine="709"/>
              <w:jc w:val="center"/>
              <w:rPr>
                <w:u w:val="single"/>
                <w:lang w:eastAsia="ar-SA"/>
              </w:rPr>
            </w:pPr>
            <w:r>
              <w:rPr>
                <w:u w:val="single"/>
                <w:lang w:eastAsia="ar-SA"/>
              </w:rPr>
              <w:t>17,64</w:t>
            </w:r>
          </w:p>
          <w:p>
            <w:pPr>
              <w:pStyle w:val="Normal"/>
              <w:snapToGrid w:val="false"/>
              <w:ind w:left="-929" w:right="-108" w:firstLine="709"/>
              <w:jc w:val="center"/>
              <w:rPr>
                <w:lang w:eastAsia="ar-SA"/>
              </w:rPr>
            </w:pPr>
            <w:r>
              <w:rPr>
                <w:lang w:eastAsia="ar-SA"/>
              </w:rPr>
              <w:t>17,54</w:t>
            </w:r>
          </w:p>
        </w:tc>
        <w:tc>
          <w:tcPr>
            <w:tcW w:w="850" w:type="dxa"/>
            <w:tcBorders>
              <w:left w:val="single" w:sz="4" w:space="0" w:color="000001"/>
              <w:bottom w:val="single" w:sz="4" w:space="0" w:color="00000A"/>
              <w:insideH w:val="single" w:sz="4" w:space="0" w:color="00000A"/>
            </w:tcBorders>
            <w:shd w:color="auto" w:fill="auto" w:val="clear"/>
            <w:tcMar>
              <w:left w:w="103" w:type="dxa"/>
            </w:tcMar>
          </w:tcPr>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p>
            <w:pPr>
              <w:pStyle w:val="Normal"/>
              <w:snapToGrid w:val="false"/>
              <w:ind w:left="-929" w:right="-108" w:firstLine="709"/>
              <w:jc w:val="center"/>
              <w:rPr>
                <w:lang w:eastAsia="ar-SA"/>
              </w:rPr>
            </w:pPr>
            <w:r>
              <w:rPr>
                <w:lang w:eastAsia="ar-SA"/>
              </w:rPr>
            </w:r>
          </w:p>
        </w:tc>
        <w:tc>
          <w:tcPr>
            <w:tcW w:w="1133" w:type="dxa"/>
            <w:tcBorders>
              <w:left w:val="single" w:sz="4" w:space="0" w:color="000001"/>
              <w:bottom w:val="single" w:sz="4" w:space="0" w:color="00000A"/>
              <w:insideH w:val="single" w:sz="4" w:space="0" w:color="00000A"/>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hanging="0"/>
              <w:rPr>
                <w:lang w:eastAsia="ar-SA"/>
              </w:rPr>
            </w:pPr>
            <w:r>
              <w:rPr>
                <w:lang w:eastAsia="ar-SA"/>
              </w:rPr>
            </w:r>
          </w:p>
          <w:p>
            <w:pPr>
              <w:pStyle w:val="Normal"/>
              <w:snapToGrid w:val="false"/>
              <w:ind w:left="-929" w:firstLine="709"/>
              <w:jc w:val="center"/>
              <w:rPr>
                <w:u w:val="single"/>
                <w:lang w:eastAsia="ar-SA"/>
              </w:rPr>
            </w:pPr>
            <w:r>
              <w:rPr>
                <w:u w:val="single"/>
                <w:lang w:eastAsia="ar-SA"/>
              </w:rPr>
              <w:t>30</w:t>
            </w:r>
          </w:p>
          <w:p>
            <w:pPr>
              <w:pStyle w:val="Normal"/>
              <w:snapToGrid w:val="false"/>
              <w:ind w:left="-929" w:firstLine="709"/>
              <w:jc w:val="center"/>
              <w:rPr>
                <w:lang w:eastAsia="ar-SA"/>
              </w:rPr>
            </w:pPr>
            <w:r>
              <w:rPr>
                <w:lang w:eastAsia="ar-SA"/>
              </w:rPr>
              <w:t>30</w:t>
            </w:r>
          </w:p>
        </w:tc>
        <w:tc>
          <w:tcPr>
            <w:tcW w:w="993" w:type="dxa"/>
            <w:tcBorders>
              <w:left w:val="single" w:sz="4" w:space="0" w:color="000001"/>
              <w:bottom w:val="single" w:sz="4" w:space="0" w:color="00000A"/>
              <w:insideH w:val="single" w:sz="4" w:space="0" w:color="00000A"/>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hanging="0"/>
              <w:rPr>
                <w:lang w:eastAsia="ar-SA"/>
              </w:rPr>
            </w:pPr>
            <w:r>
              <w:rPr>
                <w:lang w:eastAsia="ar-SA"/>
              </w:rPr>
            </w:r>
          </w:p>
          <w:p>
            <w:pPr>
              <w:pStyle w:val="Normal"/>
              <w:snapToGrid w:val="false"/>
              <w:ind w:left="-929" w:firstLine="709"/>
              <w:jc w:val="center"/>
              <w:rPr>
                <w:u w:val="single"/>
                <w:lang w:eastAsia="ar-SA"/>
              </w:rPr>
            </w:pPr>
            <w:r>
              <w:rPr>
                <w:u w:val="single"/>
                <w:lang w:eastAsia="ar-SA"/>
              </w:rPr>
              <w:t>3</w:t>
            </w:r>
          </w:p>
          <w:p>
            <w:pPr>
              <w:pStyle w:val="Normal"/>
              <w:snapToGrid w:val="false"/>
              <w:ind w:left="-929" w:firstLine="709"/>
              <w:jc w:val="center"/>
              <w:rPr>
                <w:lang w:eastAsia="ar-SA"/>
              </w:rPr>
            </w:pPr>
            <w:r>
              <w:rPr>
                <w:lang w:eastAsia="ar-SA"/>
              </w:rPr>
              <w:t>2</w:t>
            </w:r>
          </w:p>
        </w:tc>
        <w:tc>
          <w:tcPr>
            <w:tcW w:w="709" w:type="dxa"/>
            <w:tcBorders>
              <w:left w:val="single" w:sz="4" w:space="0" w:color="000001"/>
              <w:bottom w:val="single" w:sz="4" w:space="0" w:color="00000A"/>
              <w:insideH w:val="single" w:sz="4" w:space="0" w:color="00000A"/>
            </w:tcBorders>
            <w:shd w:color="auto" w:fill="auto" w:val="clear"/>
            <w:tcMar>
              <w:left w:w="103" w:type="dxa"/>
            </w:tcMar>
          </w:tcPr>
          <w:p>
            <w:pPr>
              <w:pStyle w:val="Normal"/>
              <w:snapToGrid w:val="false"/>
              <w:ind w:left="-929" w:firstLine="709"/>
              <w:jc w:val="center"/>
              <w:rPr>
                <w:lang w:eastAsia="ar-SA"/>
              </w:rPr>
            </w:pPr>
            <w:r>
              <w:rPr>
                <w:lang w:eastAsia="ar-SA"/>
              </w:rPr>
            </w:r>
          </w:p>
          <w:p>
            <w:pPr>
              <w:pStyle w:val="Normal"/>
              <w:snapToGrid w:val="false"/>
              <w:ind w:left="-929" w:hanging="0"/>
              <w:rPr>
                <w:lang w:eastAsia="ar-SA"/>
              </w:rPr>
            </w:pPr>
            <w:r>
              <w:rPr>
                <w:lang w:eastAsia="ar-SA"/>
              </w:rPr>
            </w:r>
          </w:p>
          <w:p>
            <w:pPr>
              <w:pStyle w:val="Normal"/>
              <w:snapToGrid w:val="false"/>
              <w:ind w:left="-929" w:firstLine="709"/>
              <w:jc w:val="center"/>
              <w:rPr>
                <w:lang w:eastAsia="ar-SA"/>
              </w:rPr>
            </w:pPr>
            <w:r>
              <w:rPr>
                <w:lang w:eastAsia="ar-SA"/>
              </w:rPr>
              <w:t>28</w:t>
            </w:r>
          </w:p>
        </w:tc>
        <w:tc>
          <w:tcPr>
            <w:tcW w:w="923" w:type="dxa"/>
            <w:tcBorders>
              <w:left w:val="single" w:sz="4" w:space="0" w:color="000001"/>
              <w:bottom w:val="single" w:sz="4" w:space="0" w:color="00000A"/>
              <w:right w:val="single" w:sz="4" w:space="0" w:color="000001"/>
              <w:insideH w:val="single" w:sz="4" w:space="0" w:color="00000A"/>
              <w:insideV w:val="single" w:sz="4" w:space="0" w:color="000001"/>
            </w:tcBorders>
            <w:shd w:color="auto" w:fill="auto" w:val="clear"/>
            <w:tcMar>
              <w:left w:w="103" w:type="dxa"/>
            </w:tcMar>
          </w:tcPr>
          <w:p>
            <w:pPr>
              <w:pStyle w:val="Normal"/>
              <w:snapToGrid w:val="false"/>
              <w:ind w:left="-929" w:firstLine="709"/>
              <w:jc w:val="center"/>
              <w:rPr>
                <w:lang w:eastAsia="ar-SA"/>
              </w:rPr>
            </w:pPr>
            <w:r>
              <w:rPr>
                <w:lang w:eastAsia="ar-SA"/>
              </w:rPr>
            </w:r>
          </w:p>
        </w:tc>
      </w:tr>
    </w:tbl>
    <w:p>
      <w:pPr>
        <w:pStyle w:val="Normal"/>
        <w:ind w:left="-567" w:firstLine="709"/>
        <w:rPr>
          <w:lang w:eastAsia="ar-SA"/>
        </w:rPr>
      </w:pPr>
      <w:r>
        <w:rPr>
          <w:lang w:eastAsia="ar-SA"/>
        </w:rPr>
      </w:r>
    </w:p>
    <w:p>
      <w:pPr>
        <w:pStyle w:val="Normal"/>
        <w:tabs>
          <w:tab w:val="left" w:pos="1418" w:leader="none"/>
          <w:tab w:val="left" w:pos="1843" w:leader="none"/>
        </w:tabs>
        <w:ind w:right="-1" w:firstLine="709"/>
        <w:rPr>
          <w:lang w:eastAsia="ar-SA"/>
        </w:rPr>
      </w:pPr>
      <w:r>
        <w:rPr>
          <w:lang w:eastAsia="ar-SA"/>
        </w:rPr>
        <w:t>По химическому составу грунты в интервале глубин 0,0-13,0м неагрессивные к бетонным и железобетонным конструкциям, коррозионная агрессивность к стали в интервале глубин 0,0-3,0м – средняя.</w:t>
      </w:r>
    </w:p>
    <w:p>
      <w:pPr>
        <w:pStyle w:val="Normal"/>
        <w:tabs>
          <w:tab w:val="left" w:pos="1418" w:leader="none"/>
          <w:tab w:val="left" w:pos="1843" w:leader="none"/>
        </w:tabs>
        <w:ind w:right="-1" w:firstLine="709"/>
        <w:rPr>
          <w:lang w:eastAsia="ar-SA"/>
        </w:rPr>
      </w:pPr>
      <w:r>
        <w:rPr>
          <w:lang w:eastAsia="ar-SA"/>
        </w:rPr>
        <w:t>Подземные воды скважинами, пробуренными до глубины 28,0м, не вскрыты (приложения 3.2, 3.3). Уровень их находится на глубине ~ 30м от поверхности земли. Сезонные колебания уровня подземных вод по данным режимных наблюдений в годовом цикле составляет до ~1,2м.</w:t>
      </w:r>
    </w:p>
    <w:p>
      <w:pPr>
        <w:pStyle w:val="Normal"/>
        <w:tabs>
          <w:tab w:val="left" w:pos="1418" w:leader="none"/>
          <w:tab w:val="left" w:pos="1843" w:leader="none"/>
        </w:tabs>
        <w:ind w:right="-1" w:firstLine="709"/>
        <w:rPr>
          <w:bCs/>
          <w:lang w:eastAsia="ar-SA"/>
        </w:rPr>
      </w:pPr>
      <w:r>
        <w:rPr>
          <w:bCs/>
          <w:lang w:eastAsia="ar-SA"/>
        </w:rPr>
        <w:t xml:space="preserve">Исследуемый участок по критерии типизации по подтопляемости – </w:t>
      </w:r>
      <w:r>
        <w:rPr>
          <w:bCs/>
          <w:lang w:val="en-US" w:eastAsia="ar-SA"/>
        </w:rPr>
        <w:t>III</w:t>
      </w:r>
      <w:r>
        <w:rPr>
          <w:bCs/>
          <w:lang w:eastAsia="ar-SA"/>
        </w:rPr>
        <w:t>-А (неподтопляемый).</w:t>
      </w:r>
    </w:p>
    <w:p>
      <w:pPr>
        <w:pStyle w:val="Normal"/>
        <w:tabs>
          <w:tab w:val="left" w:pos="1418" w:leader="none"/>
          <w:tab w:val="left" w:pos="1843" w:leader="none"/>
        </w:tabs>
        <w:ind w:right="-1" w:firstLine="709"/>
        <w:rPr>
          <w:color w:val="000000" w:themeColor="text1"/>
        </w:rPr>
      </w:pPr>
      <w:r>
        <w:rPr>
          <w:lang w:eastAsia="ar-SA"/>
        </w:rPr>
        <w:t>При утечках из водонесущих инженерных коммуникаций возможно локальное техногенное замачивание грунтов в верхней части разреза.</w:t>
      </w:r>
    </w:p>
    <w:p>
      <w:pPr>
        <w:pStyle w:val="Normal"/>
        <w:ind w:right="-1" w:firstLine="709"/>
        <w:rPr>
          <w:lang w:eastAsia="ar-SA"/>
        </w:rPr>
      </w:pPr>
      <w:r>
        <w:rPr>
          <w:lang w:eastAsia="ar-SA"/>
        </w:rPr>
        <w:t>Специфические грунты на исследуемом участке представлены просадочным суглинком.</w:t>
      </w:r>
    </w:p>
    <w:p>
      <w:pPr>
        <w:pStyle w:val="Normal"/>
        <w:ind w:right="-1" w:firstLine="709"/>
        <w:rPr>
          <w:bCs/>
        </w:rPr>
      </w:pPr>
      <w:r>
        <w:rPr>
          <w:bCs/>
          <w:lang w:eastAsia="ar-SA"/>
        </w:rPr>
        <w:t xml:space="preserve">Как следует из полученных результатов, просадочные свойства проявляются в суглинке до глубины 6,5м (ИГЭ 2) от поверхности земли. </w:t>
      </w:r>
    </w:p>
    <w:p>
      <w:pPr>
        <w:pStyle w:val="Normal"/>
        <w:ind w:right="-1" w:firstLine="709"/>
        <w:rPr>
          <w:bCs/>
          <w:lang w:eastAsia="ar-SA"/>
        </w:rPr>
      </w:pPr>
      <w:r>
        <w:rPr>
          <w:bCs/>
        </w:rPr>
        <w:t>Тип грунтовых условий по просадочности – I.</w:t>
      </w:r>
      <w:r>
        <w:rPr>
          <w:bCs/>
          <w:lang w:eastAsia="ar-SA"/>
        </w:rPr>
        <w:t xml:space="preserve"> </w:t>
      </w:r>
    </w:p>
    <w:p>
      <w:pPr>
        <w:pStyle w:val="Normal"/>
        <w:ind w:right="-1" w:firstLine="709"/>
        <w:rPr>
          <w:bCs/>
          <w:lang w:eastAsia="ar-SA"/>
        </w:rPr>
      </w:pPr>
      <w:r>
        <w:rPr>
          <w:bCs/>
          <w:lang w:eastAsia="ar-SA"/>
        </w:rPr>
        <w:t>Суглинок ИГЭ 3 – непросадочный.</w:t>
      </w:r>
    </w:p>
    <w:p>
      <w:pPr>
        <w:pStyle w:val="Normal"/>
        <w:ind w:right="-1" w:firstLine="709"/>
        <w:rPr>
          <w:lang w:eastAsia="ar-SA"/>
        </w:rPr>
      </w:pPr>
      <w:r>
        <w:rPr>
          <w:lang w:eastAsia="ar-SA"/>
        </w:rPr>
        <w:t>По степени морозоопасности, грунты в зоне промерзания: насыпной грунт ИГЭ 1 и суглинок ИГЭ 2 – слабопучинистые.</w:t>
      </w:r>
    </w:p>
    <w:p>
      <w:pPr>
        <w:pStyle w:val="Normal"/>
        <w:ind w:right="-1" w:firstLine="709"/>
        <w:rPr>
          <w:lang w:eastAsia="ar-SA"/>
        </w:rPr>
      </w:pPr>
      <w:r>
        <w:rPr>
          <w:lang w:eastAsia="ar-SA"/>
        </w:rPr>
      </w:r>
    </w:p>
    <w:p>
      <w:pPr>
        <w:pStyle w:val="Normal"/>
        <w:ind w:right="-1" w:firstLine="709"/>
        <w:rPr>
          <w:lang w:eastAsia="ar-SA"/>
        </w:rPr>
      </w:pPr>
      <w:r>
        <w:rPr>
          <w:lang w:eastAsia="ar-SA"/>
        </w:rPr>
      </w:r>
    </w:p>
    <w:p>
      <w:pPr>
        <w:pStyle w:val="Normal"/>
        <w:widowControl/>
        <w:ind w:right="-1" w:hanging="0"/>
        <w:rPr>
          <w:rFonts w:eastAsia="Times New Roman"/>
          <w:b/>
          <w:b/>
          <w:color w:val="000000" w:themeColor="text1"/>
        </w:rPr>
      </w:pPr>
      <w:r>
        <w:rPr>
          <w:rFonts w:eastAsia="Times New Roman"/>
          <w:b/>
          <w:color w:val="000000" w:themeColor="text1"/>
        </w:rPr>
        <w:t>3.1.2. Сведения о выполненных видах инженерных изысканий:</w:t>
      </w:r>
    </w:p>
    <w:p>
      <w:pPr>
        <w:pStyle w:val="Normal"/>
        <w:widowControl/>
        <w:ind w:right="-1" w:firstLine="709"/>
        <w:rPr>
          <w:rFonts w:eastAsia="Times New Roman"/>
          <w:b/>
          <w:b/>
          <w:color w:val="000000" w:themeColor="text1"/>
        </w:rPr>
      </w:pPr>
      <w:r>
        <w:rPr>
          <w:rFonts w:eastAsia="Times New Roman"/>
          <w:b/>
          <w:color w:val="000000" w:themeColor="text1"/>
        </w:rPr>
      </w:r>
    </w:p>
    <w:p>
      <w:pPr>
        <w:pStyle w:val="Normal"/>
        <w:widowControl/>
        <w:ind w:right="-1" w:firstLine="709"/>
        <w:rPr>
          <w:rFonts w:eastAsia="Times New Roman"/>
          <w:color w:val="000000" w:themeColor="text1"/>
        </w:rPr>
      </w:pPr>
      <w:r>
        <w:rPr>
          <w:rFonts w:eastAsia="Times New Roman"/>
          <w:b/>
          <w:color w:val="000000" w:themeColor="text1"/>
        </w:rPr>
        <w:t xml:space="preserve">- </w:t>
      </w:r>
      <w:r>
        <w:rPr>
          <w:rFonts w:eastAsia="Times New Roman"/>
          <w:color w:val="000000" w:themeColor="text1"/>
        </w:rPr>
        <w:t>инженерно-геологические изыскания.</w:t>
      </w:r>
    </w:p>
    <w:p>
      <w:pPr>
        <w:pStyle w:val="Normal"/>
        <w:widowControl/>
        <w:ind w:right="-1" w:firstLine="709"/>
        <w:rPr>
          <w:rFonts w:eastAsia="Times New Roman"/>
          <w:color w:val="000000" w:themeColor="text1"/>
        </w:rPr>
      </w:pPr>
      <w:r>
        <w:rPr>
          <w:rFonts w:eastAsia="Times New Roman"/>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3.1.3. Сведения о составе, объеме и методах выполнения инженерных изысканий:</w:t>
      </w:r>
    </w:p>
    <w:p>
      <w:pPr>
        <w:pStyle w:val="Normal"/>
        <w:widowControl/>
        <w:ind w:right="-1" w:hanging="0"/>
        <w:rPr>
          <w:rFonts w:eastAsia="Times New Roman"/>
          <w:b/>
          <w:b/>
          <w:color w:val="000000" w:themeColor="text1"/>
        </w:rPr>
      </w:pPr>
      <w:r>
        <w:rPr>
          <w:rFonts w:eastAsia="Times New Roman"/>
          <w:b/>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3.1.3.1. Инженерно-геологические изыскания.</w:t>
      </w:r>
    </w:p>
    <w:p>
      <w:pPr>
        <w:pStyle w:val="Normal"/>
        <w:widowControl/>
        <w:ind w:right="-1" w:firstLine="709"/>
        <w:rPr>
          <w:rFonts w:eastAsia="Times New Roman"/>
          <w:b/>
          <w:b/>
          <w:color w:val="000000" w:themeColor="text1"/>
          <w:highlight w:val="yellow"/>
        </w:rPr>
      </w:pPr>
      <w:r>
        <w:rPr>
          <w:rFonts w:eastAsia="Times New Roman"/>
          <w:b/>
          <w:color w:val="000000" w:themeColor="text1"/>
          <w:highlight w:val="yellow"/>
        </w:rPr>
      </w:r>
    </w:p>
    <w:p>
      <w:pPr>
        <w:pStyle w:val="Normal"/>
        <w:ind w:right="-1" w:firstLine="709"/>
        <w:rPr>
          <w:color w:val="000000" w:themeColor="text1"/>
        </w:rPr>
      </w:pPr>
      <w:r>
        <w:rPr>
          <w:color w:val="000000" w:themeColor="text1"/>
        </w:rPr>
        <w:t>Инженерно - геологические изыскания на объекте: «Многоквартирные многоэтажные жилые дома со встроенно-пристроенными помещениями делового, культурного и обслуживающего назначения» по ул. Юбилейной в Автозаводском районе г. Тольятти»,  выполнены ООО «Градостроительство» на основании договора с ООО «СК СТРОНЖ» в соответствии с техническим заданием и программой на производство работ.</w:t>
      </w:r>
    </w:p>
    <w:p>
      <w:pPr>
        <w:pStyle w:val="Normal"/>
        <w:ind w:right="-1" w:firstLine="709"/>
        <w:rPr>
          <w:lang w:eastAsia="ar-SA"/>
        </w:rPr>
      </w:pPr>
      <w:r>
        <w:rPr>
          <w:lang w:eastAsia="ar-SA"/>
        </w:rPr>
        <w:t>Целевым назначением выполненных на участке изысканий являлось изучение геолого-литологического разреза, степени выдержанности литологических напластований в вертикальном и горизонтальном направлениях в контуре проектируемого дома, гидрогеологических условий, физико-механических и коррозионных свойств грунтов.</w:t>
      </w:r>
    </w:p>
    <w:p>
      <w:pPr>
        <w:pStyle w:val="Normal"/>
        <w:ind w:right="-1" w:firstLine="709"/>
        <w:rPr/>
      </w:pPr>
      <w:r>
        <w:rPr/>
        <w:t>Для решения поставленных задач, на участке пробурено колонковым способом диаметром 151мм 6 скважин глубиной по 23,0м каждая, 3 скважины глубиной по 28,0м и выполнено 11 точек статического зондирования глубиной по 20,0м каждая.</w:t>
      </w:r>
    </w:p>
    <w:p>
      <w:pPr>
        <w:pStyle w:val="Normal"/>
        <w:ind w:right="-1" w:firstLine="709"/>
        <w:rPr/>
      </w:pPr>
      <w:r>
        <w:rPr/>
        <w:t>Объёмы основных видов работ, выполненных при изысканиях, приведены в таблице:</w:t>
      </w:r>
    </w:p>
    <w:p>
      <w:pPr>
        <w:pStyle w:val="Normal"/>
        <w:ind w:left="-567" w:firstLine="709"/>
        <w:rPr/>
      </w:pPr>
      <w:r>
        <w:rPr/>
      </w:r>
    </w:p>
    <w:tbl>
      <w:tblPr>
        <w:tblW w:w="9110"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899"/>
        <w:gridCol w:w="4103"/>
        <w:gridCol w:w="1886"/>
        <w:gridCol w:w="2221"/>
      </w:tblGrid>
      <w:tr>
        <w:trPr>
          <w:trHeight w:val="370" w:hRule="atLeast"/>
        </w:trPr>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 xml:space="preserve">№ </w:t>
            </w:r>
            <w:r>
              <w:rPr/>
              <w:t>п</w:t>
            </w:r>
            <w:r>
              <w:rPr>
                <w:lang w:val="en-US"/>
              </w:rPr>
              <w:t>/</w:t>
            </w:r>
            <w:r>
              <w:rPr/>
              <w:t>п</w:t>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Виды работ</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Единца измер.</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Количество</w:t>
            </w:r>
          </w:p>
        </w:tc>
      </w:tr>
      <w:tr>
        <w:trPr/>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1</w:t>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Бурение скважин</w:t>
            </w:r>
          </w:p>
          <w:p>
            <w:pPr>
              <w:pStyle w:val="Normal"/>
              <w:ind w:left="-567" w:firstLine="709"/>
              <w:jc w:val="center"/>
              <w:rPr/>
            </w:pPr>
            <w:r>
              <w:rPr/>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u w:val="single"/>
              </w:rPr>
            </w:pPr>
            <w:r>
              <w:rPr>
                <w:u w:val="single"/>
              </w:rPr>
              <w:t>кол-во</w:t>
            </w:r>
          </w:p>
          <w:p>
            <w:pPr>
              <w:pStyle w:val="Normal"/>
              <w:ind w:left="-567" w:firstLine="709"/>
              <w:jc w:val="center"/>
              <w:rPr/>
            </w:pPr>
            <w:r>
              <w:rPr/>
              <w:t>пог. м.</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u w:val="single"/>
              </w:rPr>
            </w:pPr>
            <w:r>
              <w:rPr>
                <w:u w:val="single"/>
              </w:rPr>
              <w:t>9</w:t>
            </w:r>
          </w:p>
          <w:p>
            <w:pPr>
              <w:pStyle w:val="Normal"/>
              <w:ind w:left="-567" w:firstLine="709"/>
              <w:jc w:val="center"/>
              <w:rPr/>
            </w:pPr>
            <w:r>
              <w:rPr/>
              <w:t>222</w:t>
            </w:r>
          </w:p>
        </w:tc>
      </w:tr>
      <w:tr>
        <w:trPr>
          <w:trHeight w:val="422" w:hRule="atLeast"/>
        </w:trPr>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2</w:t>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Статическое зондирование</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точка</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11</w:t>
            </w:r>
          </w:p>
        </w:tc>
      </w:tr>
      <w:tr>
        <w:trPr>
          <w:trHeight w:val="1033" w:hRule="atLeast"/>
        </w:trPr>
        <w:tc>
          <w:tcPr>
            <w:tcW w:w="89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3</w:t>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Отбор монолитов и проб грунта:</w:t>
            </w:r>
          </w:p>
          <w:p>
            <w:pPr>
              <w:pStyle w:val="Normal"/>
              <w:ind w:left="-567" w:firstLine="709"/>
              <w:rPr/>
            </w:pPr>
            <w:r>
              <w:rPr/>
              <w:t>ненарушенной структуры</w:t>
            </w:r>
          </w:p>
          <w:p>
            <w:pPr>
              <w:pStyle w:val="Normal"/>
              <w:ind w:left="-567" w:firstLine="709"/>
              <w:rPr/>
            </w:pPr>
            <w:r>
              <w:rPr/>
              <w:t xml:space="preserve"> </w:t>
            </w:r>
            <w:r>
              <w:rPr/>
              <w:t>(монолиты)</w:t>
            </w:r>
          </w:p>
          <w:p>
            <w:pPr>
              <w:pStyle w:val="Normal"/>
              <w:ind w:left="-567" w:firstLine="709"/>
              <w:rPr/>
            </w:pPr>
            <w:r>
              <w:rPr/>
              <w:t>нарушенной структуры (точечные)</w:t>
            </w:r>
          </w:p>
          <w:p>
            <w:pPr>
              <w:pStyle w:val="Normal"/>
              <w:ind w:left="-567" w:firstLine="709"/>
              <w:rPr/>
            </w:pPr>
            <w:r>
              <w:rPr/>
              <w:t>бороздовые пробы</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 xml:space="preserve">шт. </w:t>
            </w:r>
          </w:p>
          <w:p>
            <w:pPr>
              <w:pStyle w:val="Normal"/>
              <w:ind w:left="-567" w:firstLine="709"/>
              <w:jc w:val="center"/>
              <w:rPr/>
            </w:pPr>
            <w:r>
              <w:rPr/>
              <w:t>шт.</w:t>
            </w:r>
          </w:p>
          <w:p>
            <w:pPr>
              <w:pStyle w:val="Normal"/>
              <w:ind w:left="-567" w:firstLine="709"/>
              <w:jc w:val="center"/>
              <w:rPr/>
            </w:pPr>
            <w:r>
              <w:rPr/>
              <w:t>шт.</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32</w:t>
            </w:r>
          </w:p>
          <w:p>
            <w:pPr>
              <w:pStyle w:val="Normal"/>
              <w:ind w:left="-567" w:firstLine="709"/>
              <w:jc w:val="center"/>
              <w:rPr/>
            </w:pPr>
            <w:r>
              <w:rPr/>
              <w:t>46</w:t>
            </w:r>
          </w:p>
          <w:p>
            <w:pPr>
              <w:pStyle w:val="Normal"/>
              <w:ind w:left="-567" w:firstLine="709"/>
              <w:jc w:val="center"/>
              <w:rPr/>
            </w:pPr>
            <w:r>
              <w:rPr/>
              <w:t>12</w:t>
            </w:r>
          </w:p>
        </w:tc>
      </w:tr>
      <w:tr>
        <w:trPr>
          <w:trHeight w:val="572" w:hRule="atLeast"/>
        </w:trPr>
        <w:tc>
          <w:tcPr>
            <w:tcW w:w="899"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4</w:t>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Лабораторные работы:</w:t>
            </w:r>
          </w:p>
          <w:p>
            <w:pPr>
              <w:pStyle w:val="Normal"/>
              <w:ind w:left="-567" w:firstLine="709"/>
              <w:rPr/>
            </w:pPr>
            <w:r>
              <w:rPr/>
              <w:t>полный комплекс физико-</w:t>
            </w:r>
          </w:p>
          <w:p>
            <w:pPr>
              <w:pStyle w:val="Normal"/>
              <w:ind w:left="-567" w:firstLine="709"/>
              <w:rPr/>
            </w:pPr>
            <w:r>
              <w:rPr/>
              <w:t xml:space="preserve">механических свойств </w:t>
            </w:r>
          </w:p>
          <w:p>
            <w:pPr>
              <w:pStyle w:val="Normal"/>
              <w:ind w:left="-567" w:firstLine="709"/>
              <w:rPr/>
            </w:pPr>
            <w:r>
              <w:rPr/>
              <w:t>связных грунтов</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r>
          </w:p>
          <w:p>
            <w:pPr>
              <w:pStyle w:val="Normal"/>
              <w:ind w:left="-567" w:firstLine="709"/>
              <w:jc w:val="center"/>
              <w:rPr/>
            </w:pPr>
            <w:r>
              <w:rPr/>
              <w:t>опред.</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r>
          </w:p>
          <w:p>
            <w:pPr>
              <w:pStyle w:val="Normal"/>
              <w:ind w:left="-567" w:firstLine="709"/>
              <w:jc w:val="center"/>
              <w:rPr/>
            </w:pPr>
            <w:r>
              <w:rPr/>
              <w:t>12</w:t>
            </w:r>
          </w:p>
        </w:tc>
      </w:tr>
      <w:tr>
        <w:trPr>
          <w:trHeight w:val="572" w:hRule="atLeast"/>
        </w:trPr>
        <w:tc>
          <w:tcPr>
            <w:tcW w:w="89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сокращенный комплекс физико-</w:t>
            </w:r>
          </w:p>
          <w:p>
            <w:pPr>
              <w:pStyle w:val="Normal"/>
              <w:ind w:left="-567" w:firstLine="709"/>
              <w:rPr/>
            </w:pPr>
            <w:r>
              <w:rPr/>
              <w:t xml:space="preserve">механических свойств </w:t>
            </w:r>
          </w:p>
          <w:p>
            <w:pPr>
              <w:pStyle w:val="Normal"/>
              <w:ind w:left="-567" w:firstLine="709"/>
              <w:rPr/>
            </w:pPr>
            <w:r>
              <w:rPr/>
              <w:t>связных грунтов</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опред.</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16</w:t>
            </w:r>
          </w:p>
        </w:tc>
      </w:tr>
      <w:tr>
        <w:trPr>
          <w:trHeight w:val="572" w:hRule="atLeast"/>
        </w:trPr>
        <w:tc>
          <w:tcPr>
            <w:tcW w:w="89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полный комплекс определения</w:t>
            </w:r>
          </w:p>
          <w:p>
            <w:pPr>
              <w:pStyle w:val="Normal"/>
              <w:ind w:left="-567" w:firstLine="709"/>
              <w:rPr/>
            </w:pPr>
            <w:r>
              <w:rPr/>
              <w:t xml:space="preserve"> </w:t>
            </w:r>
            <w:r>
              <w:rPr/>
              <w:t xml:space="preserve">физических свойств </w:t>
            </w:r>
          </w:p>
          <w:p>
            <w:pPr>
              <w:pStyle w:val="Normal"/>
              <w:ind w:left="-567" w:firstLine="709"/>
              <w:rPr/>
            </w:pPr>
            <w:r>
              <w:rPr/>
              <w:t>связных грунтов</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опред.</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1</w:t>
            </w:r>
          </w:p>
        </w:tc>
      </w:tr>
      <w:tr>
        <w:trPr>
          <w:trHeight w:val="274" w:hRule="atLeast"/>
        </w:trPr>
        <w:tc>
          <w:tcPr>
            <w:tcW w:w="89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влажность и консистенция суглинка</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опред.</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40</w:t>
            </w:r>
          </w:p>
        </w:tc>
      </w:tr>
      <w:tr>
        <w:trPr>
          <w:trHeight w:val="572" w:hRule="atLeast"/>
        </w:trPr>
        <w:tc>
          <w:tcPr>
            <w:tcW w:w="89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сокращенный комплекс</w:t>
            </w:r>
          </w:p>
          <w:p>
            <w:pPr>
              <w:pStyle w:val="Normal"/>
              <w:ind w:left="-567" w:firstLine="709"/>
              <w:rPr/>
            </w:pPr>
            <w:r>
              <w:rPr/>
              <w:t xml:space="preserve"> </w:t>
            </w:r>
            <w:r>
              <w:rPr/>
              <w:t xml:space="preserve">определения </w:t>
            </w:r>
          </w:p>
          <w:p>
            <w:pPr>
              <w:pStyle w:val="Normal"/>
              <w:ind w:left="-567" w:firstLine="709"/>
              <w:rPr/>
            </w:pPr>
            <w:r>
              <w:rPr/>
              <w:t xml:space="preserve">физическо-механических </w:t>
            </w:r>
          </w:p>
          <w:p>
            <w:pPr>
              <w:pStyle w:val="Normal"/>
              <w:ind w:left="-567" w:firstLine="709"/>
              <w:rPr/>
            </w:pPr>
            <w:r>
              <w:rPr/>
              <w:t>свойств песка</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опред.</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3</w:t>
            </w:r>
          </w:p>
        </w:tc>
      </w:tr>
      <w:tr>
        <w:trPr>
          <w:trHeight w:val="530" w:hRule="atLeast"/>
        </w:trPr>
        <w:tc>
          <w:tcPr>
            <w:tcW w:w="89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влажность и гранулометрический</w:t>
            </w:r>
          </w:p>
          <w:p>
            <w:pPr>
              <w:pStyle w:val="Normal"/>
              <w:ind w:left="-567" w:firstLine="709"/>
              <w:rPr/>
            </w:pPr>
            <w:r>
              <w:rPr/>
              <w:t xml:space="preserve"> </w:t>
            </w:r>
            <w:r>
              <w:rPr/>
              <w:t>состав песка</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опред.</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p>
            <w:pPr>
              <w:pStyle w:val="Normal"/>
              <w:ind w:left="-567" w:firstLine="709"/>
              <w:jc w:val="center"/>
              <w:rPr/>
            </w:pPr>
            <w:r>
              <w:rPr/>
              <w:t>6</w:t>
            </w:r>
          </w:p>
        </w:tc>
      </w:tr>
      <w:tr>
        <w:trPr>
          <w:trHeight w:val="325" w:hRule="atLeast"/>
        </w:trPr>
        <w:tc>
          <w:tcPr>
            <w:tcW w:w="899"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r>
          </w:p>
        </w:tc>
        <w:tc>
          <w:tcPr>
            <w:tcW w:w="410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rPr/>
            </w:pPr>
            <w:r>
              <w:rPr/>
              <w:t xml:space="preserve">коррозионная агрессивность </w:t>
            </w:r>
          </w:p>
          <w:p>
            <w:pPr>
              <w:pStyle w:val="Normal"/>
              <w:ind w:left="-567" w:firstLine="709"/>
              <w:rPr/>
            </w:pPr>
            <w:r>
              <w:rPr/>
              <w:t xml:space="preserve">грунтов  </w:t>
            </w:r>
          </w:p>
        </w:tc>
        <w:tc>
          <w:tcPr>
            <w:tcW w:w="188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опред.</w:t>
            </w:r>
          </w:p>
        </w:tc>
        <w:tc>
          <w:tcPr>
            <w:tcW w:w="22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ind w:left="-567" w:firstLine="709"/>
              <w:jc w:val="center"/>
              <w:rPr/>
            </w:pPr>
            <w:r>
              <w:rPr/>
              <w:t>12</w:t>
            </w:r>
          </w:p>
        </w:tc>
      </w:tr>
    </w:tbl>
    <w:p>
      <w:pPr>
        <w:pStyle w:val="Normal"/>
        <w:ind w:left="-567" w:firstLine="709"/>
        <w:rPr/>
      </w:pPr>
      <w:r>
        <w:rPr/>
        <w:t xml:space="preserve">            </w:t>
      </w:r>
    </w:p>
    <w:p>
      <w:pPr>
        <w:pStyle w:val="Normal"/>
        <w:ind w:firstLine="709"/>
        <w:rPr/>
      </w:pPr>
      <w:r>
        <w:rPr/>
        <w:t>Монолиты отбирались задавливающим грунтоносом диаметром 127мм.</w:t>
      </w:r>
    </w:p>
    <w:p>
      <w:pPr>
        <w:pStyle w:val="Normal"/>
        <w:tabs>
          <w:tab w:val="left" w:pos="9866" w:leader="none"/>
        </w:tabs>
        <w:ind w:firstLine="709"/>
        <w:rPr/>
      </w:pPr>
      <w:r>
        <w:rPr/>
        <w:t xml:space="preserve">В качестве топоосновы использована топографическая съемка масштаба 1:500, выданная заказчиком. Система координат г. Тольятти, система высот Балтийская. Разбивка и планово-высотная привязка выработок выполнена инструментально. </w:t>
      </w:r>
    </w:p>
    <w:p>
      <w:pPr>
        <w:pStyle w:val="Normal"/>
        <w:ind w:firstLine="709"/>
        <w:rPr>
          <w:lang w:eastAsia="ar-SA"/>
        </w:rPr>
      </w:pPr>
      <w:r>
        <w:rPr>
          <w:lang w:eastAsia="ar-SA"/>
        </w:rPr>
        <w:t xml:space="preserve">Статическое зондирование грунтов проводилось установкой С - 832М зондом </w:t>
      </w:r>
      <w:r>
        <w:rPr>
          <w:lang w:val="en-US" w:eastAsia="ar-SA"/>
        </w:rPr>
        <w:t>II</w:t>
      </w:r>
      <w:r>
        <w:rPr>
          <w:lang w:eastAsia="ar-SA"/>
        </w:rPr>
        <w:t xml:space="preserve"> типа. Регистрация сопротивлений грунтов конусу зонда (</w:t>
      </w:r>
      <w:r>
        <w:rPr>
          <w:lang w:val="en-US" w:eastAsia="ar-SA"/>
        </w:rPr>
        <w:t>g</w:t>
      </w:r>
      <w:r>
        <w:rPr>
          <w:sz w:val="20"/>
          <w:lang w:val="en-US" w:eastAsia="ar-SA"/>
        </w:rPr>
        <w:t>s</w:t>
      </w:r>
      <w:r>
        <w:rPr>
          <w:sz w:val="20"/>
          <w:lang w:eastAsia="ar-SA"/>
        </w:rPr>
        <w:t>)</w:t>
      </w:r>
      <w:r>
        <w:rPr>
          <w:lang w:eastAsia="ar-SA"/>
        </w:rPr>
        <w:t xml:space="preserve"> и его боко</w:t>
        <w:softHyphen/>
        <w:t>вой поверхности (</w:t>
      </w:r>
      <w:r>
        <w:rPr>
          <w:lang w:val="en-US" w:eastAsia="ar-SA"/>
        </w:rPr>
        <w:t>f</w:t>
      </w:r>
      <w:r>
        <w:rPr>
          <w:sz w:val="20"/>
          <w:lang w:val="en-US" w:eastAsia="ar-SA"/>
        </w:rPr>
        <w:t>s</w:t>
      </w:r>
      <w:r>
        <w:rPr>
          <w:sz w:val="20"/>
          <w:lang w:eastAsia="ar-SA"/>
        </w:rPr>
        <w:t>)</w:t>
      </w:r>
      <w:r>
        <w:rPr>
          <w:lang w:eastAsia="ar-SA"/>
        </w:rPr>
        <w:t xml:space="preserve"> производились автоматически на диаграммные ленты самописцами непрерывно по всей глубине зондирования. На основании диаграммных лент </w:t>
      </w:r>
      <w:r>
        <w:rPr>
          <w:rFonts w:eastAsia="MS Mincho"/>
        </w:rPr>
        <w:t>по программе «</w:t>
      </w:r>
      <w:r>
        <w:rPr>
          <w:rFonts w:eastAsia="MS Mincho"/>
          <w:lang w:val="en-US"/>
        </w:rPr>
        <w:t>Zond</w:t>
      </w:r>
      <w:r>
        <w:rPr>
          <w:rFonts w:eastAsia="MS Mincho"/>
        </w:rPr>
        <w:t>»</w:t>
      </w:r>
      <w:r>
        <w:rPr>
          <w:rFonts w:eastAsia="MS Mincho"/>
          <w:sz w:val="28"/>
          <w:szCs w:val="28"/>
        </w:rPr>
        <w:t xml:space="preserve"> </w:t>
      </w:r>
      <w:r>
        <w:rPr>
          <w:lang w:eastAsia="ar-SA"/>
        </w:rPr>
        <w:t xml:space="preserve">построены   графики   зависимости сопротивлений грунтов </w:t>
      </w:r>
      <w:r>
        <w:rPr>
          <w:lang w:val="en-US" w:eastAsia="ar-SA"/>
        </w:rPr>
        <w:t>g</w:t>
      </w:r>
      <w:r>
        <w:rPr>
          <w:sz w:val="20"/>
          <w:lang w:val="en-US" w:eastAsia="ar-SA"/>
        </w:rPr>
        <w:t>s</w:t>
      </w:r>
      <w:r>
        <w:rPr>
          <w:lang w:eastAsia="ar-SA"/>
        </w:rPr>
        <w:t xml:space="preserve"> и </w:t>
      </w:r>
      <w:r>
        <w:rPr>
          <w:lang w:val="en-US" w:eastAsia="ar-SA"/>
        </w:rPr>
        <w:t>f</w:t>
      </w:r>
      <w:r>
        <w:rPr>
          <w:sz w:val="20"/>
          <w:lang w:val="en-US" w:eastAsia="ar-SA"/>
        </w:rPr>
        <w:t>s</w:t>
      </w:r>
      <w:r>
        <w:rPr>
          <w:lang w:eastAsia="ar-SA"/>
        </w:rPr>
        <w:t xml:space="preserve"> с глубиной погружения.</w:t>
      </w:r>
    </w:p>
    <w:p>
      <w:pPr>
        <w:pStyle w:val="Normal"/>
        <w:ind w:firstLine="709"/>
        <w:rPr/>
      </w:pPr>
      <w:r>
        <w:rPr/>
        <w:t xml:space="preserve">Лабораторные анализы грунтов выполнялись в лаборатории ООО «Градостроительство» под руководством заведующей Гальпер Н. С. (свидетельство о состоянии измерений в лаборатории №471 выдано ФБУ «Тольяттинский ЦСМ»). Компрессионные и сдвиговые испытания  производились в приборах системы института «Гидропроект». Просадочные свойства грунтов определялись по схеме «одной кривой». Сдвиговые испытания выполнены методом одноплоскостного среза по схеме консолидированно-дренированного (медленного) среза. </w:t>
      </w:r>
    </w:p>
    <w:p>
      <w:pPr>
        <w:pStyle w:val="Normal"/>
        <w:tabs>
          <w:tab w:val="left" w:pos="1418" w:leader="none"/>
          <w:tab w:val="left" w:pos="1843" w:leader="none"/>
        </w:tabs>
        <w:ind w:firstLine="709"/>
        <w:rPr>
          <w:color w:val="000000" w:themeColor="text1"/>
        </w:rPr>
      </w:pPr>
      <w:r>
        <w:rPr>
          <w:color w:val="000000" w:themeColor="text1"/>
        </w:rPr>
        <w:t>При составлении отчета использовались архивные материалы инженерно-геологических изысканий, выполненные на прилегающем участке.</w:t>
      </w:r>
    </w:p>
    <w:p>
      <w:pPr>
        <w:pStyle w:val="Normal"/>
        <w:tabs>
          <w:tab w:val="left" w:pos="1418" w:leader="none"/>
          <w:tab w:val="left" w:pos="1843" w:leader="none"/>
        </w:tabs>
        <w:ind w:firstLine="709"/>
        <w:rPr>
          <w:color w:val="000000" w:themeColor="text1"/>
          <w:highlight w:val="yellow"/>
        </w:rPr>
      </w:pPr>
      <w:r>
        <w:rPr>
          <w:color w:val="000000" w:themeColor="text1"/>
          <w:highlight w:val="yellow"/>
        </w:rPr>
      </w:r>
    </w:p>
    <w:p>
      <w:pPr>
        <w:pStyle w:val="Normal"/>
        <w:tabs>
          <w:tab w:val="left" w:pos="1418" w:leader="none"/>
          <w:tab w:val="left" w:pos="1843" w:leader="none"/>
        </w:tabs>
        <w:ind w:firstLine="709"/>
        <w:rPr>
          <w:color w:val="000000" w:themeColor="text1"/>
          <w:highlight w:val="yellow"/>
        </w:rPr>
      </w:pPr>
      <w:r>
        <w:rPr>
          <w:color w:val="000000" w:themeColor="text1"/>
          <w:highlight w:val="yellow"/>
        </w:rPr>
      </w:r>
    </w:p>
    <w:p>
      <w:pPr>
        <w:pStyle w:val="Normal"/>
        <w:widowControl/>
        <w:ind w:hanging="0"/>
        <w:rPr>
          <w:rFonts w:eastAsia="Times New Roman"/>
          <w:b/>
          <w:b/>
          <w:color w:val="000000" w:themeColor="text1"/>
        </w:rPr>
      </w:pPr>
      <w:r>
        <w:rPr>
          <w:rFonts w:eastAsia="Times New Roman"/>
          <w:b/>
          <w:color w:val="000000" w:themeColor="text1"/>
        </w:rPr>
        <w:t>3.2. Описание технической части проектной документации:</w:t>
      </w:r>
    </w:p>
    <w:p>
      <w:pPr>
        <w:pStyle w:val="Normal"/>
        <w:widowControl/>
        <w:ind w:firstLine="709"/>
        <w:rPr>
          <w:rFonts w:eastAsia="Times New Roman"/>
          <w:b/>
          <w:b/>
          <w:color w:val="000000" w:themeColor="text1"/>
        </w:rPr>
      </w:pPr>
      <w:r>
        <w:rPr>
          <w:rFonts w:eastAsia="Times New Roman"/>
          <w:b/>
          <w:color w:val="000000" w:themeColor="text1"/>
        </w:rPr>
      </w:r>
    </w:p>
    <w:p>
      <w:pPr>
        <w:pStyle w:val="Normal"/>
        <w:tabs>
          <w:tab w:val="left" w:pos="1418" w:leader="none"/>
          <w:tab w:val="left" w:pos="1843" w:leader="none"/>
        </w:tabs>
        <w:ind w:hanging="0"/>
        <w:rPr>
          <w:rFonts w:eastAsia="Times New Roman"/>
          <w:b/>
          <w:b/>
          <w:color w:val="000000" w:themeColor="text1"/>
        </w:rPr>
      </w:pPr>
      <w:r>
        <w:rPr>
          <w:rFonts w:eastAsia="Times New Roman"/>
          <w:b/>
          <w:color w:val="000000" w:themeColor="text1"/>
        </w:rPr>
        <w:t>3.2.1 Перечень рассмотренных разделов проектной документации:</w:t>
      </w:r>
    </w:p>
    <w:p>
      <w:pPr>
        <w:pStyle w:val="Normal"/>
        <w:tabs>
          <w:tab w:val="left" w:pos="1418" w:leader="none"/>
          <w:tab w:val="left" w:pos="1843" w:leader="none"/>
        </w:tabs>
        <w:ind w:left="-567" w:right="141" w:hanging="0"/>
        <w:rPr>
          <w:rFonts w:eastAsia="Times New Roman"/>
          <w:b/>
          <w:b/>
          <w:color w:val="000000" w:themeColor="text1"/>
        </w:rPr>
      </w:pPr>
      <w:r>
        <w:rPr>
          <w:rFonts w:eastAsia="Times New Roman"/>
          <w:b/>
          <w:color w:val="000000" w:themeColor="text1"/>
        </w:rPr>
      </w:r>
    </w:p>
    <w:tbl>
      <w:tblPr>
        <w:tblW w:w="9734"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1" w:lastRow="0" w:firstColumn="1" w:lastColumn="0" w:noHBand="0" w:val="04a0"/>
      </w:tblPr>
      <w:tblGrid>
        <w:gridCol w:w="623"/>
        <w:gridCol w:w="5632"/>
        <w:gridCol w:w="1491"/>
        <w:gridCol w:w="1987"/>
      </w:tblGrid>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lineRule="auto" w:line="276"/>
              <w:ind w:hanging="0"/>
              <w:rPr>
                <w:b/>
                <w:b/>
                <w:sz w:val="22"/>
                <w:szCs w:val="22"/>
              </w:rPr>
            </w:pPr>
            <w:r>
              <w:rPr>
                <w:b/>
                <w:sz w:val="22"/>
                <w:szCs w:val="22"/>
              </w:rPr>
              <w:t xml:space="preserve">№ </w:t>
            </w:r>
            <w:r>
              <w:rPr>
                <w:b/>
                <w:sz w:val="22"/>
                <w:szCs w:val="22"/>
              </w:rPr>
              <w:t>п/п</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lineRule="auto" w:line="276"/>
              <w:ind w:hanging="0"/>
              <w:jc w:val="center"/>
              <w:rPr>
                <w:b/>
                <w:b/>
                <w:sz w:val="22"/>
                <w:szCs w:val="22"/>
              </w:rPr>
            </w:pPr>
            <w:r>
              <w:rPr>
                <w:b/>
                <w:sz w:val="22"/>
                <w:szCs w:val="22"/>
              </w:rPr>
            </w:r>
          </w:p>
          <w:p>
            <w:pPr>
              <w:pStyle w:val="Normal"/>
              <w:spacing w:lineRule="auto" w:line="276"/>
              <w:ind w:hanging="0"/>
              <w:jc w:val="center"/>
              <w:rPr>
                <w:b/>
                <w:b/>
                <w:sz w:val="22"/>
                <w:szCs w:val="22"/>
              </w:rPr>
            </w:pPr>
            <w:r>
              <w:rPr>
                <w:b/>
                <w:sz w:val="22"/>
                <w:szCs w:val="22"/>
              </w:rPr>
              <w:t xml:space="preserve">Наименование документации </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pacing w:lineRule="auto" w:line="276"/>
              <w:ind w:hanging="0"/>
              <w:jc w:val="center"/>
              <w:rPr>
                <w:b/>
                <w:b/>
                <w:sz w:val="22"/>
                <w:szCs w:val="22"/>
              </w:rPr>
            </w:pPr>
            <w:r>
              <w:rPr>
                <w:b/>
                <w:sz w:val="22"/>
                <w:szCs w:val="22"/>
              </w:rPr>
              <w:t xml:space="preserve">№ </w:t>
            </w:r>
            <w:r>
              <w:rPr>
                <w:b/>
                <w:sz w:val="22"/>
                <w:szCs w:val="22"/>
              </w:rPr>
              <w:t xml:space="preserve">тома </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
                <w:b/>
                <w:bCs/>
                <w:sz w:val="22"/>
                <w:szCs w:val="22"/>
                <w:lang w:bidi="ru-RU"/>
              </w:rPr>
            </w:pPr>
            <w:r>
              <w:rPr>
                <w:rFonts w:eastAsia="Lucida Sans Unicode"/>
                <w:b/>
                <w:bCs/>
                <w:sz w:val="22"/>
                <w:szCs w:val="22"/>
                <w:lang w:bidi="ru-RU"/>
              </w:rPr>
              <w:t>Обозначение</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Раздел 1. Пояснительная записка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 xml:space="preserve">1 </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9/16-ПЗ</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2</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Раздел 2. Схема планировочной организации земельного участка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2</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9/16-ПЗУ</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3</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Раздел 3. Архитектурные решения</w:t>
            </w:r>
          </w:p>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3</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9/16-АР</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4</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Раздел 4. Конструктивные и объемно-планировочные решения</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4</w:t>
            </w:r>
          </w:p>
        </w:tc>
        <w:tc>
          <w:tcPr>
            <w:tcW w:w="1987"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4/16-КР</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5</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Часть 1. Конструкции железобетонные ниже отм.0,000. Устройство монолитной фундаментной плиты</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4.1</w:t>
            </w:r>
          </w:p>
        </w:tc>
        <w:tc>
          <w:tcPr>
            <w:tcW w:w="198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6</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Часть 2. Конструкции железобетонные</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4.2</w:t>
            </w:r>
          </w:p>
        </w:tc>
        <w:tc>
          <w:tcPr>
            <w:tcW w:w="198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7</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Часть 3. Инженерные расчёты</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4.3</w:t>
            </w:r>
          </w:p>
        </w:tc>
        <w:tc>
          <w:tcPr>
            <w:tcW w:w="1987"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8</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Раздел 5. Сведения об инженерном оборудовании, о сетях инженерно-технического обеспечения, перечень инженерно-технических мероприятий, содержание технологических решений.</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5</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9/16-ИОС</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9</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Подраздел 1. Система электроснабжения.</w:t>
            </w:r>
          </w:p>
          <w:p>
            <w:pPr>
              <w:pStyle w:val="Normal"/>
              <w:suppressLineNumbers/>
              <w:tabs>
                <w:tab w:val="right" w:pos="9689"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Часть 1. Электрооборудование и электроосвещение</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5.1</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9/16-ИОС1</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10</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Подраздел 2, 3. Система водоснабжения.</w:t>
            </w:r>
          </w:p>
          <w:p>
            <w:pPr>
              <w:pStyle w:val="Normal"/>
              <w:suppressLineNumbers/>
              <w:tabs>
                <w:tab w:val="right" w:pos="9689"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Система водоотведения.</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5.2, 5.3</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9/16-ИОС2, 3</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11</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Подраздел 4. Отопление, вентиляция и кондиционирование воздуха. Тепловые сети.</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5.4</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9/16-ИОС4</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12</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9689"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Часть 1. Отопление и вентиляция.</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9/16-1-ИОС4.1</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13</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Часть 2. Тепловой пункт. Узел учета тепла.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9/16-ИОС4.2</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14</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Подраздел 5. Сети связи</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5.5</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9/16-ИОС5</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15</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Часть 1. Телефонизация, радиофикация, домофонная связь, телевидение</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9/16-ИОС5.1</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16</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Часть 2. Пожарная сигнализация и оповещение о пожаре</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9/16-ИОС5.2</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17</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Подраздел 7. Автоматизация</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5.7</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9/16-ИОС7</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18</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Раздел 6. Проект организации строительства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6</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9/16-ПОС</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19</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Раздел 8. Перечень мероприятий по охране окружающей среды</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7</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9/16-ООС</w:t>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20</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Раздел 9. Мероприятия по обеспечению пожарной безопасности</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8</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9/16-ПБ</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21</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 xml:space="preserve">Раздел 10. Мероприятия по обеспечению доступа </w:t>
            </w:r>
          </w:p>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инвалидов</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9/16-ОДИ</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22</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Раздел 10-1 «Требования к обеспечению безопасной эксплуатации объекта капитального строительства»</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10</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9/16-ТБЭ</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r>
        <w:trPr/>
        <w:tc>
          <w:tcPr>
            <w:tcW w:w="62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spacing w:lineRule="auto" w:line="276"/>
              <w:ind w:hanging="0"/>
              <w:textAlignment w:val="baseline"/>
              <w:rPr>
                <w:rFonts w:eastAsia="Lucida Sans Unicode"/>
                <w:bCs/>
                <w:sz w:val="22"/>
                <w:szCs w:val="22"/>
                <w:lang w:bidi="ru-RU"/>
              </w:rPr>
            </w:pPr>
            <w:r>
              <w:rPr>
                <w:rFonts w:eastAsia="Lucida Sans Unicode"/>
                <w:bCs/>
                <w:sz w:val="22"/>
                <w:szCs w:val="22"/>
                <w:lang w:bidi="ru-RU"/>
              </w:rPr>
              <w:t>23</w:t>
            </w:r>
          </w:p>
        </w:tc>
        <w:tc>
          <w:tcPr>
            <w:tcW w:w="563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textAlignment w:val="baseline"/>
              <w:rPr>
                <w:rFonts w:eastAsia="Lucida Sans Unicode"/>
                <w:bCs/>
                <w:sz w:val="22"/>
                <w:szCs w:val="22"/>
                <w:lang w:bidi="ru-RU"/>
              </w:rPr>
            </w:pPr>
            <w:r>
              <w:rPr>
                <w:rFonts w:eastAsia="Lucida Sans Unicode"/>
                <w:bCs/>
                <w:sz w:val="22"/>
                <w:szCs w:val="22"/>
                <w:lang w:bidi="ru-RU"/>
              </w:rPr>
              <w:t>Раздел 11-1. Перечень мероприятий по обеспечению требований энергетической эффективности и требований оснащённости зданий, строений и сооружений приборами учёта используемых энергетических ресурсов.</w:t>
            </w:r>
          </w:p>
        </w:tc>
        <w:tc>
          <w:tcPr>
            <w:tcW w:w="149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11</w:t>
            </w:r>
          </w:p>
        </w:tc>
        <w:tc>
          <w:tcPr>
            <w:tcW w:w="198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color="auto" w:fill="auto" w:val="clear"/>
            <w:tcMar>
              <w:left w:w="108" w:type="dxa"/>
            </w:tcMar>
          </w:tcPr>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t>9/16-ЭЭ</w:t>
            </w:r>
          </w:p>
          <w:p>
            <w:pPr>
              <w:pStyle w:val="Normal"/>
              <w:suppressLineNumbers/>
              <w:tabs>
                <w:tab w:val="right" w:pos="30" w:leader="dot"/>
              </w:tabs>
              <w:suppressAutoHyphens w:val="true"/>
              <w:ind w:hanging="0"/>
              <w:jc w:val="center"/>
              <w:textAlignment w:val="baseline"/>
              <w:rPr>
                <w:rFonts w:eastAsia="Lucida Sans Unicode"/>
                <w:bCs/>
                <w:sz w:val="22"/>
                <w:szCs w:val="22"/>
                <w:lang w:bidi="ru-RU"/>
              </w:rPr>
            </w:pPr>
            <w:r>
              <w:rPr>
                <w:rFonts w:eastAsia="Lucida Sans Unicode"/>
                <w:bCs/>
                <w:sz w:val="22"/>
                <w:szCs w:val="22"/>
                <w:lang w:bidi="ru-RU"/>
              </w:rPr>
            </w:r>
          </w:p>
        </w:tc>
      </w:tr>
    </w:tbl>
    <w:p>
      <w:pPr>
        <w:pStyle w:val="Normal"/>
        <w:tabs>
          <w:tab w:val="left" w:pos="1418" w:leader="none"/>
          <w:tab w:val="left" w:pos="1843" w:leader="none"/>
        </w:tabs>
        <w:ind w:right="141" w:hanging="0"/>
        <w:rPr>
          <w:rFonts w:eastAsia="Times New Roman"/>
          <w:b/>
          <w:b/>
          <w:color w:val="000000" w:themeColor="text1"/>
        </w:rPr>
      </w:pPr>
      <w:r>
        <w:rPr>
          <w:rFonts w:eastAsia="Times New Roman"/>
          <w:b/>
          <w:color w:val="000000" w:themeColor="text1"/>
        </w:rPr>
      </w:r>
    </w:p>
    <w:p>
      <w:pPr>
        <w:pStyle w:val="Normal"/>
        <w:tabs>
          <w:tab w:val="left" w:pos="1418" w:leader="none"/>
          <w:tab w:val="left" w:pos="1843" w:leader="none"/>
        </w:tabs>
        <w:ind w:right="141" w:hanging="0"/>
        <w:rPr>
          <w:rFonts w:eastAsia="Times New Roman"/>
          <w:b/>
          <w:b/>
          <w:color w:val="000000" w:themeColor="text1"/>
          <w:highlight w:val="yellow"/>
        </w:rPr>
      </w:pPr>
      <w:r>
        <w:rPr>
          <w:rFonts w:eastAsia="Times New Roman"/>
          <w:b/>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3.2.2. Описание основных решений (мероприятий) по каждому из рассмотренных разделов:</w:t>
      </w:r>
    </w:p>
    <w:p>
      <w:pPr>
        <w:pStyle w:val="Normal"/>
        <w:widowControl/>
        <w:ind w:right="-1" w:hanging="0"/>
        <w:rPr>
          <w:rFonts w:eastAsia="Times New Roman"/>
          <w:b/>
          <w:b/>
          <w:color w:val="000000" w:themeColor="text1"/>
        </w:rPr>
      </w:pPr>
      <w:r>
        <w:rPr>
          <w:rFonts w:eastAsia="Times New Roman"/>
          <w:b/>
          <w:color w:val="000000" w:themeColor="text1"/>
        </w:rPr>
      </w:r>
    </w:p>
    <w:p>
      <w:pPr>
        <w:pStyle w:val="Normal"/>
        <w:widowControl/>
        <w:ind w:right="-1" w:hanging="0"/>
        <w:rPr>
          <w:rFonts w:eastAsia="Times New Roman"/>
          <w:b/>
          <w:b/>
          <w:color w:val="000000" w:themeColor="text1"/>
          <w:highlight w:val="yellow"/>
        </w:rPr>
      </w:pPr>
      <w:r>
        <w:rPr>
          <w:rFonts w:eastAsia="Times New Roman"/>
          <w:b/>
          <w:color w:val="000000" w:themeColor="text1"/>
        </w:rPr>
        <w:t>3.2.2.1. Схема планировочной организации земельного участка (генеральный план)</w:t>
      </w:r>
    </w:p>
    <w:p>
      <w:pPr>
        <w:pStyle w:val="Normal"/>
        <w:widowControl/>
        <w:ind w:right="-1" w:hanging="0"/>
        <w:rPr>
          <w:rFonts w:eastAsia="Times New Roman"/>
          <w:b/>
          <w:b/>
          <w:color w:val="000000" w:themeColor="text1"/>
          <w:highlight w:val="yellow"/>
        </w:rPr>
      </w:pPr>
      <w:r>
        <w:rPr>
          <w:rFonts w:eastAsia="Times New Roman"/>
          <w:b/>
          <w:color w:val="000000" w:themeColor="text1"/>
          <w:highlight w:val="yellow"/>
        </w:rPr>
      </w:r>
    </w:p>
    <w:p>
      <w:pPr>
        <w:pStyle w:val="Normal"/>
        <w:ind w:right="-1" w:firstLine="709"/>
        <w:rPr/>
      </w:pPr>
      <w:r>
        <w:rPr/>
        <w:t>Объект капитального строительства: «</w:t>
      </w:r>
      <w:r>
        <w:rPr>
          <w:highlight w:val="white"/>
        </w:rPr>
        <w:t>Многоквартирные многоэтажные жилые дома со встроенно-пристроенными помещениями делового, культурного и обслуживающего назначения по ул. Юбилейная в Автозаводском районе г. Тольятти. Позиция 4. 1 этап строительства, 2 этап строительства»,</w:t>
      </w:r>
      <w:r>
        <w:rPr/>
        <w:t xml:space="preserve"> запроектирован в границах земельного участка, общей площадью 13895 кв. м, категория земель - земли населенных пунктов, кадастровый номер земельного участка: 63:09:0101179:570.</w:t>
      </w:r>
    </w:p>
    <w:p>
      <w:pPr>
        <w:pStyle w:val="Normal"/>
        <w:ind w:right="-1" w:firstLine="709"/>
        <w:rPr/>
      </w:pPr>
      <w:r>
        <w:rPr/>
        <w:t xml:space="preserve">Схема планировочной организации земельного участка выполнена на основании градостроительного плана </w:t>
      </w:r>
      <w:r>
        <w:rPr>
          <w:rFonts w:cs="Segoe UI Symbol" w:ascii="Segoe UI Symbol" w:hAnsi="Segoe UI Symbol"/>
        </w:rPr>
        <w:t>№</w:t>
      </w:r>
      <w:r>
        <w:rPr>
          <w:lang w:val="en-US"/>
        </w:rPr>
        <w:t>RU</w:t>
      </w:r>
      <w:r>
        <w:rPr/>
        <w:t xml:space="preserve">63302000-0000000000002053, утвержденного заместителем мэра г.о. Тольятти от 23.11.2015г </w:t>
      </w:r>
      <w:r>
        <w:rPr>
          <w:rFonts w:cs="Segoe UI Symbol" w:ascii="Segoe UI Symbol" w:hAnsi="Segoe UI Symbol"/>
        </w:rPr>
        <w:t>№</w:t>
      </w:r>
      <w:r>
        <w:rPr/>
        <w:t xml:space="preserve"> 8616-р/5.</w:t>
      </w:r>
    </w:p>
    <w:p>
      <w:pPr>
        <w:pStyle w:val="Normal"/>
        <w:ind w:right="-1" w:firstLine="709"/>
        <w:rPr/>
      </w:pPr>
      <w:r>
        <w:rPr/>
        <w:t xml:space="preserve">Данный земельный участок находится в зоне многоэтажной жилой застройки Ж-4. Участок застройки расположен вне пределов охранной зоны и санитарно-защитных зон предприятий и сооружений. Памятников историко-культурного наследия на участке нет. </w:t>
      </w:r>
    </w:p>
    <w:p>
      <w:pPr>
        <w:pStyle w:val="Normal"/>
        <w:ind w:right="-1" w:firstLine="709"/>
        <w:rPr/>
      </w:pPr>
      <w:r>
        <w:rPr/>
        <w:t>Территория проектируемого дома попадает в третий пояс зоны санитарной охраны водоснабжения. Проектом предусмотрены меры по обеспечению охраны водного объекта от загрязнения в соответствии с водным законодательством.</w:t>
      </w:r>
    </w:p>
    <w:p>
      <w:pPr>
        <w:pStyle w:val="Normal"/>
        <w:ind w:right="-1" w:firstLine="709"/>
        <w:rPr/>
      </w:pPr>
      <w:r>
        <w:rPr/>
        <w:t xml:space="preserve">На площадке запроектирован восьми секционный жилой дом с нежилыми помещениями (офисами). Этажность секций с 1- по 7 – 10этажей, этажность 8 секции – 17этажей, нежилых помещений (офисов) - 3 этажа. Отметка пола первого этажа всех секций жилого дома 83,50м, отметка пола первого этажа нежилых помещений свободной планировки 82,05м. </w:t>
      </w:r>
    </w:p>
    <w:p>
      <w:pPr>
        <w:pStyle w:val="Normal"/>
        <w:ind w:right="-1" w:firstLine="709"/>
        <w:rPr/>
      </w:pPr>
      <w:r>
        <w:rPr/>
        <w:t>Строительство ведется в 2 этапа. К первому этапу строительства относятся 1ая,2я,3я,4я,5я секции расположенные на части земельного участка 7430м</w:t>
      </w:r>
      <w:r>
        <w:rPr>
          <w:vertAlign w:val="superscript"/>
        </w:rPr>
        <w:t>2</w:t>
      </w:r>
      <w:r>
        <w:rPr/>
        <w:t>, ко второму этапу относятся 6я,7я,8я секции и нежилые помещения (офисы), расположенные на части земельного участка 6465м</w:t>
      </w:r>
      <w:r>
        <w:rPr>
          <w:vertAlign w:val="superscript"/>
        </w:rPr>
        <w:t>2</w:t>
      </w:r>
      <w:r>
        <w:rPr/>
        <w:t>.</w:t>
      </w:r>
    </w:p>
    <w:p>
      <w:pPr>
        <w:pStyle w:val="Normal"/>
        <w:ind w:right="-1" w:firstLine="540"/>
        <w:rPr>
          <w:rFonts w:ascii="Times New Roman CYR" w:hAnsi="Times New Roman CYR" w:cs="Times New Roman CYR"/>
          <w:b/>
          <w:b/>
          <w:bCs/>
        </w:rPr>
      </w:pPr>
      <w:r>
        <w:rPr>
          <w:rFonts w:cs="Times New Roman CYR" w:ascii="Times New Roman CYR" w:hAnsi="Times New Roman CYR"/>
          <w:b/>
          <w:bCs/>
        </w:rPr>
        <w:t>Технико-экономические показатели</w:t>
      </w:r>
    </w:p>
    <w:p>
      <w:pPr>
        <w:pStyle w:val="Normal"/>
        <w:ind w:right="-1" w:firstLine="540"/>
        <w:rPr>
          <w:rFonts w:ascii="Times New Roman CYR" w:hAnsi="Times New Roman CYR" w:cs="Times New Roman CYR"/>
          <w:b/>
          <w:b/>
          <w:bCs/>
        </w:rPr>
      </w:pPr>
      <w:r>
        <w:rPr>
          <w:rFonts w:cs="Times New Roman CYR" w:ascii="Times New Roman CYR" w:hAnsi="Times New Roman CYR"/>
          <w:b/>
          <w:bCs/>
        </w:rPr>
      </w:r>
    </w:p>
    <w:p>
      <w:pPr>
        <w:pStyle w:val="Normal"/>
        <w:ind w:left="142" w:hanging="0"/>
        <w:jc w:val="center"/>
        <w:rPr/>
      </w:pPr>
      <w:r>
        <w:rPr>
          <w:b/>
          <w:bCs/>
        </w:rPr>
        <w:t>Для всего участка:</w:t>
      </w:r>
    </w:p>
    <w:p>
      <w:pPr>
        <w:pStyle w:val="Normal"/>
        <w:widowControl/>
        <w:numPr>
          <w:ilvl w:val="0"/>
          <w:numId w:val="1"/>
        </w:numPr>
        <w:ind w:left="720" w:hanging="360"/>
        <w:jc w:val="left"/>
        <w:rPr/>
      </w:pPr>
      <w:r>
        <w:rPr/>
        <w:t>Площадь территории</w:t>
      </w:r>
    </w:p>
    <w:p>
      <w:pPr>
        <w:pStyle w:val="Normal"/>
        <w:rPr/>
      </w:pPr>
      <w:r>
        <w:rPr/>
        <w:t xml:space="preserve"> </w:t>
      </w:r>
      <w:r>
        <w:rPr/>
        <w:t>в границах кадастрового отвода, м</w:t>
      </w:r>
      <w:r>
        <w:rPr>
          <w:vertAlign w:val="superscript"/>
        </w:rPr>
        <w:t>2</w:t>
      </w:r>
      <w:r>
        <w:rPr/>
        <w:t xml:space="preserve">                 -13895</w:t>
      </w:r>
    </w:p>
    <w:p>
      <w:pPr>
        <w:pStyle w:val="Normal"/>
        <w:widowControl/>
        <w:numPr>
          <w:ilvl w:val="0"/>
          <w:numId w:val="1"/>
        </w:numPr>
        <w:tabs>
          <w:tab w:val="left" w:pos="720" w:leader="none"/>
        </w:tabs>
        <w:ind w:left="720" w:right="284" w:hanging="360"/>
        <w:jc w:val="left"/>
        <w:rPr/>
      </w:pPr>
      <w:r>
        <w:rPr/>
        <w:t>площадь застройки, м</w:t>
      </w:r>
      <w:r>
        <w:rPr>
          <w:vertAlign w:val="superscript"/>
        </w:rPr>
        <w:t>2</w:t>
      </w:r>
      <w:r>
        <w:rPr/>
        <w:t xml:space="preserve">                                        - 4115,6</w:t>
      </w:r>
    </w:p>
    <w:p>
      <w:pPr>
        <w:pStyle w:val="Normal"/>
        <w:widowControl/>
        <w:numPr>
          <w:ilvl w:val="0"/>
          <w:numId w:val="1"/>
        </w:numPr>
        <w:tabs>
          <w:tab w:val="left" w:pos="720" w:leader="none"/>
        </w:tabs>
        <w:ind w:left="720" w:right="284" w:hanging="360"/>
        <w:jc w:val="left"/>
        <w:rPr/>
      </w:pPr>
      <w:r>
        <w:rPr/>
        <w:t>площадь асфальтобетонных покрытий, м</w:t>
      </w:r>
      <w:r>
        <w:rPr>
          <w:vertAlign w:val="superscript"/>
        </w:rPr>
        <w:t>2</w:t>
      </w:r>
      <w:r>
        <w:rPr/>
        <w:t xml:space="preserve">       - 6562,0</w:t>
      </w:r>
    </w:p>
    <w:p>
      <w:pPr>
        <w:pStyle w:val="Normal"/>
        <w:widowControl/>
        <w:numPr>
          <w:ilvl w:val="0"/>
          <w:numId w:val="1"/>
        </w:numPr>
        <w:tabs>
          <w:tab w:val="left" w:pos="720" w:leader="none"/>
        </w:tabs>
        <w:ind w:left="720" w:right="284" w:hanging="360"/>
        <w:jc w:val="left"/>
        <w:rPr/>
      </w:pPr>
      <w:r>
        <w:rPr/>
        <w:t>площадь озеленения, м</w:t>
      </w:r>
      <w:r>
        <w:rPr>
          <w:vertAlign w:val="superscript"/>
        </w:rPr>
        <w:t>2</w:t>
      </w:r>
      <w:r>
        <w:rPr/>
        <w:t xml:space="preserve">                                      - 3217,4</w:t>
      </w:r>
    </w:p>
    <w:p>
      <w:pPr>
        <w:pStyle w:val="Normal"/>
        <w:widowControl/>
        <w:numPr>
          <w:ilvl w:val="0"/>
          <w:numId w:val="1"/>
        </w:numPr>
        <w:tabs>
          <w:tab w:val="left" w:pos="720" w:leader="none"/>
        </w:tabs>
        <w:ind w:left="720" w:right="284" w:hanging="360"/>
        <w:jc w:val="left"/>
        <w:rPr/>
      </w:pPr>
      <w:r>
        <w:rPr/>
        <w:t>коэффициент застройки,                                      - 0,30</w:t>
      </w:r>
    </w:p>
    <w:p>
      <w:pPr>
        <w:pStyle w:val="Normal"/>
        <w:keepNext/>
        <w:spacing w:before="284" w:after="170"/>
        <w:ind w:right="284" w:firstLine="567"/>
        <w:jc w:val="center"/>
        <w:rPr/>
      </w:pPr>
      <w:r>
        <w:rPr>
          <w:b/>
          <w:bCs/>
        </w:rPr>
        <w:t xml:space="preserve">Для первого этапа строительства:                                                                         </w:t>
      </w:r>
    </w:p>
    <w:p>
      <w:pPr>
        <w:pStyle w:val="Normal"/>
        <w:widowControl/>
        <w:numPr>
          <w:ilvl w:val="0"/>
          <w:numId w:val="1"/>
        </w:numPr>
        <w:ind w:left="720" w:hanging="360"/>
        <w:jc w:val="left"/>
        <w:rPr/>
      </w:pPr>
      <w:r>
        <w:rPr/>
        <w:t>Площадь территории</w:t>
      </w:r>
    </w:p>
    <w:p>
      <w:pPr>
        <w:pStyle w:val="Normal"/>
        <w:rPr/>
      </w:pPr>
      <w:r>
        <w:rPr/>
        <w:t xml:space="preserve"> </w:t>
      </w:r>
      <w:r>
        <w:rPr/>
        <w:t>в границах благоустройства, м</w:t>
      </w:r>
      <w:r>
        <w:rPr>
          <w:vertAlign w:val="superscript"/>
        </w:rPr>
        <w:t>2</w:t>
      </w:r>
      <w:r>
        <w:rPr/>
        <w:t xml:space="preserve">                        -7430</w:t>
      </w:r>
    </w:p>
    <w:p>
      <w:pPr>
        <w:pStyle w:val="Normal"/>
        <w:widowControl/>
        <w:numPr>
          <w:ilvl w:val="0"/>
          <w:numId w:val="1"/>
        </w:numPr>
        <w:tabs>
          <w:tab w:val="left" w:pos="720" w:leader="none"/>
        </w:tabs>
        <w:ind w:left="720" w:right="284" w:hanging="360"/>
        <w:jc w:val="left"/>
        <w:rPr/>
      </w:pPr>
      <w:r>
        <w:rPr/>
        <w:t>площадь застройки, м</w:t>
      </w:r>
      <w:r>
        <w:rPr>
          <w:vertAlign w:val="superscript"/>
        </w:rPr>
        <w:t>2</w:t>
      </w:r>
      <w:r>
        <w:rPr/>
        <w:t xml:space="preserve">                                        - 1982,0</w:t>
      </w:r>
    </w:p>
    <w:p>
      <w:pPr>
        <w:pStyle w:val="Normal"/>
        <w:widowControl/>
        <w:numPr>
          <w:ilvl w:val="0"/>
          <w:numId w:val="1"/>
        </w:numPr>
        <w:tabs>
          <w:tab w:val="left" w:pos="720" w:leader="none"/>
        </w:tabs>
        <w:ind w:left="720" w:right="284" w:hanging="360"/>
        <w:jc w:val="left"/>
        <w:rPr/>
      </w:pPr>
      <w:r>
        <w:rPr/>
        <w:t>площадь асфальтобетонных покрытий, м</w:t>
      </w:r>
      <w:r>
        <w:rPr>
          <w:vertAlign w:val="superscript"/>
        </w:rPr>
        <w:t>2</w:t>
      </w:r>
      <w:r>
        <w:rPr/>
        <w:t xml:space="preserve">       - 3614,0</w:t>
      </w:r>
    </w:p>
    <w:p>
      <w:pPr>
        <w:pStyle w:val="Normal"/>
        <w:widowControl/>
        <w:numPr>
          <w:ilvl w:val="0"/>
          <w:numId w:val="1"/>
        </w:numPr>
        <w:tabs>
          <w:tab w:val="left" w:pos="720" w:leader="none"/>
        </w:tabs>
        <w:ind w:left="720" w:right="284" w:hanging="360"/>
        <w:jc w:val="left"/>
        <w:rPr/>
      </w:pPr>
      <w:r>
        <w:rPr/>
        <w:t>площадь озеленения, м</w:t>
      </w:r>
      <w:r>
        <w:rPr>
          <w:vertAlign w:val="superscript"/>
        </w:rPr>
        <w:t>2</w:t>
      </w:r>
      <w:r>
        <w:rPr/>
        <w:t xml:space="preserve">                                      - 1834,0</w:t>
      </w:r>
    </w:p>
    <w:p>
      <w:pPr>
        <w:pStyle w:val="Normal"/>
        <w:widowControl/>
        <w:numPr>
          <w:ilvl w:val="0"/>
          <w:numId w:val="1"/>
        </w:numPr>
        <w:tabs>
          <w:tab w:val="left" w:pos="720" w:leader="none"/>
        </w:tabs>
        <w:ind w:left="720" w:right="284" w:hanging="360"/>
        <w:jc w:val="left"/>
        <w:rPr/>
      </w:pPr>
      <w:r>
        <w:rPr/>
        <w:t>коэффициент застройки,                                      - 0,27</w:t>
      </w:r>
    </w:p>
    <w:p>
      <w:pPr>
        <w:pStyle w:val="Normal"/>
        <w:keepNext/>
        <w:spacing w:before="284" w:after="170"/>
        <w:ind w:right="284" w:firstLine="567"/>
        <w:jc w:val="center"/>
        <w:rPr/>
      </w:pPr>
      <w:r>
        <w:rPr>
          <w:b/>
          <w:bCs/>
        </w:rPr>
        <w:t xml:space="preserve">Для второго этапа строительства:  </w:t>
      </w:r>
    </w:p>
    <w:p>
      <w:pPr>
        <w:pStyle w:val="Normal"/>
        <w:widowControl/>
        <w:numPr>
          <w:ilvl w:val="0"/>
          <w:numId w:val="1"/>
        </w:numPr>
        <w:ind w:left="720" w:hanging="360"/>
        <w:jc w:val="left"/>
        <w:rPr/>
      </w:pPr>
      <w:r>
        <w:rPr/>
        <w:t>Площадь территории</w:t>
      </w:r>
    </w:p>
    <w:p>
      <w:pPr>
        <w:pStyle w:val="Normal"/>
        <w:rPr/>
      </w:pPr>
      <w:r>
        <w:rPr/>
        <w:t xml:space="preserve"> </w:t>
      </w:r>
      <w:r>
        <w:rPr/>
        <w:t>в границах благоустройства, м</w:t>
      </w:r>
      <w:r>
        <w:rPr>
          <w:vertAlign w:val="superscript"/>
        </w:rPr>
        <w:t xml:space="preserve">2 </w:t>
      </w:r>
      <w:r>
        <w:rPr/>
        <w:t xml:space="preserve">                       - 6465</w:t>
      </w:r>
    </w:p>
    <w:p>
      <w:pPr>
        <w:pStyle w:val="Normal"/>
        <w:widowControl/>
        <w:numPr>
          <w:ilvl w:val="0"/>
          <w:numId w:val="1"/>
        </w:numPr>
        <w:tabs>
          <w:tab w:val="left" w:pos="720" w:leader="none"/>
        </w:tabs>
        <w:ind w:left="720" w:right="284" w:hanging="360"/>
        <w:jc w:val="left"/>
        <w:rPr/>
      </w:pPr>
      <w:r>
        <w:rPr/>
        <w:t>площадь застройки, м</w:t>
      </w:r>
      <w:r>
        <w:rPr>
          <w:vertAlign w:val="superscript"/>
        </w:rPr>
        <w:t>2</w:t>
      </w:r>
      <w:r>
        <w:rPr/>
        <w:t xml:space="preserve">                                        - 2133,6</w:t>
      </w:r>
    </w:p>
    <w:p>
      <w:pPr>
        <w:pStyle w:val="Normal"/>
        <w:widowControl/>
        <w:numPr>
          <w:ilvl w:val="0"/>
          <w:numId w:val="1"/>
        </w:numPr>
        <w:tabs>
          <w:tab w:val="left" w:pos="720" w:leader="none"/>
        </w:tabs>
        <w:ind w:left="720" w:right="284" w:hanging="360"/>
        <w:jc w:val="left"/>
        <w:rPr/>
      </w:pPr>
      <w:r>
        <w:rPr/>
        <w:t>площадь асфальтобетонных покрытий, м</w:t>
      </w:r>
      <w:r>
        <w:rPr>
          <w:vertAlign w:val="superscript"/>
        </w:rPr>
        <w:t>2</w:t>
      </w:r>
      <w:r>
        <w:rPr/>
        <w:t xml:space="preserve">       - 2948,0</w:t>
      </w:r>
    </w:p>
    <w:p>
      <w:pPr>
        <w:pStyle w:val="Normal"/>
        <w:widowControl/>
        <w:numPr>
          <w:ilvl w:val="0"/>
          <w:numId w:val="1"/>
        </w:numPr>
        <w:tabs>
          <w:tab w:val="left" w:pos="720" w:leader="none"/>
        </w:tabs>
        <w:ind w:left="720" w:right="284" w:hanging="360"/>
        <w:jc w:val="left"/>
        <w:rPr/>
      </w:pPr>
      <w:r>
        <w:rPr/>
        <w:t>площадь озеленения, м</w:t>
      </w:r>
      <w:r>
        <w:rPr>
          <w:vertAlign w:val="superscript"/>
        </w:rPr>
        <w:t>2</w:t>
      </w:r>
      <w:r>
        <w:rPr/>
        <w:t xml:space="preserve">                                      - 1383,4</w:t>
      </w:r>
    </w:p>
    <w:p>
      <w:pPr>
        <w:pStyle w:val="Normal"/>
        <w:widowControl/>
        <w:numPr>
          <w:ilvl w:val="0"/>
          <w:numId w:val="1"/>
        </w:numPr>
        <w:tabs>
          <w:tab w:val="left" w:pos="720" w:leader="none"/>
        </w:tabs>
        <w:ind w:left="720" w:right="284" w:hanging="360"/>
        <w:jc w:val="left"/>
        <w:rPr/>
      </w:pPr>
      <w:r>
        <w:rPr/>
        <w:t>коэффициент застройки,                                      - 0,33</w:t>
      </w:r>
    </w:p>
    <w:p>
      <w:pPr>
        <w:pStyle w:val="Normal"/>
        <w:widowControl/>
        <w:tabs>
          <w:tab w:val="left" w:pos="720" w:leader="none"/>
        </w:tabs>
        <w:ind w:left="720" w:right="284" w:hanging="0"/>
        <w:jc w:val="left"/>
        <w:rPr/>
      </w:pPr>
      <w:r>
        <w:rPr/>
      </w:r>
    </w:p>
    <w:p>
      <w:pPr>
        <w:pStyle w:val="Normal"/>
        <w:ind w:firstLine="709"/>
        <w:rPr>
          <w:b/>
          <w:b/>
        </w:rPr>
      </w:pPr>
      <w:r>
        <w:rPr>
          <w:b/>
        </w:rPr>
        <w:t>Организация рельефа территории</w:t>
      </w:r>
    </w:p>
    <w:p>
      <w:pPr>
        <w:pStyle w:val="Normal"/>
        <w:ind w:firstLine="709"/>
        <w:rPr/>
      </w:pPr>
      <w:r>
        <w:rPr/>
        <w:t>Вертикальная планировка территории выполнена с учетом отметок ул. Революционной, ул. Спортивной, существующей асфальтобетонной площадки,  вертикальной планировки жилых домов поз. 2 и 3 и плана организации рельефа комплекса многоквартирных многоэтажных жилых домов с встроено-пристроенными помещениями  делового, культурного и обслуживающего назначения, выполненного ИП Сергиенко В.П.</w:t>
      </w:r>
    </w:p>
    <w:p>
      <w:pPr>
        <w:pStyle w:val="Normal"/>
        <w:spacing w:before="0" w:after="119"/>
        <w:ind w:firstLine="709"/>
        <w:rPr/>
      </w:pPr>
      <w:r>
        <w:rPr/>
        <w:t xml:space="preserve">Все проезды ограждаются бортовым камнем, возвышающимся над проезжей частью на 0,15 м. Пересечение пешеходных дорог с проездами выполняется с плавным переходом тротуара к проезду с понижением бортового камня до 0,015 метров. </w:t>
      </w:r>
    </w:p>
    <w:p>
      <w:pPr>
        <w:pStyle w:val="Normal"/>
        <w:ind w:firstLine="709"/>
        <w:rPr/>
      </w:pPr>
      <w:r>
        <w:rPr/>
        <w:t>Отвод дождевых, талых  и прочих поверхностных вод осуществляется по открытым лоткам проездов и далее в пониженные места  дождеприемники и далее в ливневую канализацию.</w:t>
      </w:r>
    </w:p>
    <w:p>
      <w:pPr>
        <w:pStyle w:val="Normal"/>
        <w:ind w:firstLine="709"/>
        <w:rPr>
          <w:b/>
          <w:b/>
        </w:rPr>
      </w:pPr>
      <w:r>
        <w:rPr>
          <w:b/>
        </w:rPr>
        <w:t>Решения по благоустройству территории</w:t>
      </w:r>
    </w:p>
    <w:p>
      <w:pPr>
        <w:pStyle w:val="Normal"/>
        <w:ind w:firstLine="709"/>
        <w:rPr/>
      </w:pPr>
      <w:r>
        <w:rPr/>
        <w:t>Автомобильные проезды запроектированы с учетом организации обслуживания объекта, обеспечения беспрепятственного проезда пожарной техники.</w:t>
      </w:r>
    </w:p>
    <w:p>
      <w:pPr>
        <w:pStyle w:val="Normal"/>
        <w:ind w:firstLine="709"/>
        <w:rPr/>
      </w:pPr>
      <w:r>
        <w:rPr/>
        <w:t xml:space="preserve">На территорию  предусмотрены  два  въезда. Один въезд  предусмотрен с  ул. Революционной, другой - с ул. Спортивной.  Оба въезда совмещены с ранее существующими проездами.  </w:t>
      </w:r>
    </w:p>
    <w:p>
      <w:pPr>
        <w:pStyle w:val="Normal"/>
        <w:ind w:firstLine="709"/>
        <w:rPr/>
      </w:pPr>
      <w:r>
        <w:rPr/>
        <w:t>Для снижения запыленности воздуха,  защиты почвы от ветровой и водной эрозии, обеспечения нормативных санитарно-гигиенических условий,  на свободной от застройки и асфальтового покрытия территории,   предусматривается устройство газона, посадка кустарника и деревьев.</w:t>
      </w:r>
    </w:p>
    <w:p>
      <w:pPr>
        <w:pStyle w:val="Normal"/>
        <w:ind w:firstLine="709"/>
        <w:rPr/>
      </w:pPr>
      <w:r>
        <w:rPr/>
        <w:t>Проектом предусмотрены площадки:</w:t>
      </w:r>
    </w:p>
    <w:p>
      <w:pPr>
        <w:pStyle w:val="Normal"/>
        <w:widowControl/>
        <w:numPr>
          <w:ilvl w:val="0"/>
          <w:numId w:val="1"/>
        </w:numPr>
        <w:ind w:firstLine="709"/>
        <w:jc w:val="left"/>
        <w:rPr/>
      </w:pPr>
      <w:r>
        <w:rPr/>
        <w:t>для игр детей  364,45м</w:t>
      </w:r>
      <w:r>
        <w:rPr>
          <w:vertAlign w:val="superscript"/>
        </w:rPr>
        <w:t>2</w:t>
      </w:r>
      <w:r>
        <w:rPr/>
        <w:t>.</w:t>
      </w:r>
    </w:p>
    <w:p>
      <w:pPr>
        <w:pStyle w:val="Normal"/>
        <w:widowControl/>
        <w:numPr>
          <w:ilvl w:val="0"/>
          <w:numId w:val="1"/>
        </w:numPr>
        <w:ind w:firstLine="709"/>
        <w:jc w:val="left"/>
        <w:rPr/>
      </w:pPr>
      <w:r>
        <w:rPr/>
        <w:t>для отдыха взрослого населения 20,0м</w:t>
      </w:r>
      <w:r>
        <w:rPr>
          <w:vertAlign w:val="superscript"/>
        </w:rPr>
        <w:t>2</w:t>
      </w:r>
      <w:r>
        <w:rPr/>
        <w:t>;</w:t>
      </w:r>
    </w:p>
    <w:p>
      <w:pPr>
        <w:pStyle w:val="Normal"/>
        <w:widowControl/>
        <w:numPr>
          <w:ilvl w:val="0"/>
          <w:numId w:val="1"/>
        </w:numPr>
        <w:ind w:firstLine="709"/>
        <w:jc w:val="left"/>
        <w:rPr/>
      </w:pPr>
      <w:r>
        <w:rPr/>
        <w:t>площадка для мусорных контейнеров и крупногабаритных отходов 12,5м</w:t>
      </w:r>
      <w:r>
        <w:rPr>
          <w:vertAlign w:val="superscript"/>
        </w:rPr>
        <w:t>2</w:t>
      </w:r>
      <w:r>
        <w:rPr/>
        <w:t xml:space="preserve">; </w:t>
      </w:r>
    </w:p>
    <w:p>
      <w:pPr>
        <w:pStyle w:val="Normal"/>
        <w:widowControl/>
        <w:numPr>
          <w:ilvl w:val="0"/>
          <w:numId w:val="1"/>
        </w:numPr>
        <w:ind w:firstLine="709"/>
        <w:jc w:val="left"/>
        <w:rPr/>
      </w:pPr>
      <w:r>
        <w:rPr/>
        <w:t>спортивная площадка 324,60м</w:t>
      </w:r>
      <w:r>
        <w:rPr>
          <w:vertAlign w:val="superscript"/>
        </w:rPr>
        <w:t>2</w:t>
      </w:r>
      <w:r>
        <w:rPr/>
        <w:t>;</w:t>
      </w:r>
    </w:p>
    <w:p>
      <w:pPr>
        <w:pStyle w:val="Normal"/>
        <w:widowControl/>
        <w:numPr>
          <w:ilvl w:val="0"/>
          <w:numId w:val="1"/>
        </w:numPr>
        <w:ind w:firstLine="709"/>
        <w:jc w:val="left"/>
        <w:rPr/>
      </w:pPr>
      <w:r>
        <w:rPr/>
        <w:t>площадка для проветривания и сушки домашних вещей 12,0м</w:t>
      </w:r>
      <w:r>
        <w:rPr>
          <w:vertAlign w:val="superscript"/>
        </w:rPr>
        <w:t>2</w:t>
      </w:r>
      <w:r>
        <w:rPr/>
        <w:t>.</w:t>
      </w:r>
    </w:p>
    <w:p>
      <w:pPr>
        <w:pStyle w:val="Normal"/>
        <w:tabs>
          <w:tab w:val="left" w:pos="9497" w:leader="none"/>
        </w:tabs>
        <w:ind w:firstLine="709"/>
        <w:rPr/>
      </w:pPr>
      <w:r>
        <w:rPr/>
        <w:t>Сбор мусора от жилого дома предусмотрен в мусоропровод с ежедневным вывозом специализированными машинами. </w:t>
      </w:r>
    </w:p>
    <w:p>
      <w:pPr>
        <w:pStyle w:val="Normal"/>
        <w:ind w:firstLine="709"/>
        <w:rPr/>
      </w:pPr>
      <w:r>
        <w:rPr/>
        <w:t xml:space="preserve">Обеспечение многоквартирного дома машиноместами в количестве 235 штук  и гостевой парковкой сотрудников офиса на </w:t>
      </w:r>
      <w:r>
        <w:rPr>
          <w:b/>
          <w:bCs/>
        </w:rPr>
        <w:t>4</w:t>
      </w:r>
      <w:r>
        <w:rPr/>
        <w:t xml:space="preserve"> места предусмотрено частично в границах земельного участка на котором непосредственно запроектирован многоквартирный дом, и частично в пределах близлежащей территории в соответствии с Проектом планировки территории, утвержденным постановлением мэрии городского округа Тольятти от от 08.08.2014г. № 2883-п/1, следующим образом:</w:t>
      </w:r>
    </w:p>
    <w:p>
      <w:pPr>
        <w:pStyle w:val="Normal"/>
        <w:ind w:firstLine="709"/>
        <w:rPr/>
      </w:pPr>
      <w:r>
        <w:rPr/>
        <w:t>1. В границах земельного участка непосредственно занятого многоквартирным домом предусмотрено размещение машиномест в количестве 83 шт. 9 из них (не менее 10%) предназначено для маломобильных групп населения. План размещения машиномест приведен в Схеме планировочной организации земельного участка.</w:t>
      </w:r>
    </w:p>
    <w:p>
      <w:pPr>
        <w:pStyle w:val="Normal"/>
        <w:ind w:firstLine="709"/>
        <w:rPr/>
      </w:pPr>
      <w:r>
        <w:rPr/>
        <w:t xml:space="preserve">2. В пределах близлежащей территории, в пределах пешеходной доступности не более 800 м, предусмотрено </w:t>
      </w:r>
      <w:r>
        <w:rPr>
          <w:b/>
          <w:bCs/>
        </w:rPr>
        <w:t>156</w:t>
      </w:r>
      <w:r>
        <w:rPr/>
        <w:t xml:space="preserve"> машиномест. Размещение машиномест предусмотрено документацией по планировке застроенной территории с проектом межевания, ограниченной улицами: Революционной, Дзержинского, Юбилейной, Спортивной. (утв.: постановлением мэрии г.о. Тольятти от 08.08.2014г. № 2883-п/1).</w:t>
      </w:r>
    </w:p>
    <w:p>
      <w:pPr>
        <w:pStyle w:val="Western"/>
        <w:spacing w:beforeAutospacing="0" w:before="0" w:after="0"/>
        <w:ind w:firstLine="709"/>
        <w:jc w:val="both"/>
        <w:rPr/>
      </w:pPr>
      <w:r>
        <w:rPr>
          <w:rFonts w:cs="Times New Roman" w:ascii="Times New Roman" w:hAnsi="Times New Roman"/>
        </w:rPr>
        <w:t xml:space="preserve"> </w:t>
      </w:r>
      <w:r>
        <w:rPr>
          <w:rFonts w:cs="Times New Roman" w:ascii="Times New Roman" w:hAnsi="Times New Roman"/>
        </w:rPr>
        <w:t>Стоянка автомобилей для жителей дома предусмотрена восточнее территории дома поз 2. Предоставляется гарантийное письмо ОАО Приморское на аренду земли под стоянку на 370 мест, из них 37 мест ( не менее 10%) для МГН</w:t>
      </w:r>
      <w:r>
        <w:rPr/>
        <w:t>.</w:t>
      </w:r>
    </w:p>
    <w:p>
      <w:pPr>
        <w:pStyle w:val="Western"/>
        <w:spacing w:beforeAutospacing="0" w:before="0" w:after="0"/>
        <w:ind w:firstLine="709"/>
        <w:jc w:val="both"/>
        <w:rPr>
          <w:rFonts w:ascii="Times New Roman" w:hAnsi="Times New Roman" w:cs="Times New Roman"/>
          <w:lang w:eastAsia="ar-SA"/>
        </w:rPr>
      </w:pPr>
      <w:r>
        <w:rPr>
          <w:rFonts w:cs="Times New Roman" w:ascii="Times New Roman" w:hAnsi="Times New Roman"/>
          <w:lang w:eastAsia="ar-SA"/>
        </w:rPr>
      </w:r>
    </w:p>
    <w:p>
      <w:pPr>
        <w:pStyle w:val="Normal"/>
        <w:tabs>
          <w:tab w:val="left" w:pos="0" w:leader="none"/>
        </w:tabs>
        <w:ind w:firstLine="709"/>
        <w:rPr>
          <w:color w:val="000000" w:themeColor="text1"/>
        </w:rPr>
      </w:pPr>
      <w:r>
        <w:rPr>
          <w:color w:val="000000" w:themeColor="text1"/>
        </w:rPr>
      </w:r>
    </w:p>
    <w:p>
      <w:pPr>
        <w:pStyle w:val="Normal"/>
        <w:widowControl/>
        <w:ind w:hanging="0"/>
        <w:rPr>
          <w:rFonts w:eastAsia="Times New Roman"/>
          <w:b/>
          <w:b/>
          <w:color w:val="000000" w:themeColor="text1"/>
        </w:rPr>
      </w:pPr>
      <w:r>
        <w:rPr>
          <w:rFonts w:eastAsia="Times New Roman"/>
          <w:b/>
          <w:color w:val="000000" w:themeColor="text1"/>
        </w:rPr>
        <w:t xml:space="preserve">3.2.3. Архитектурные, конструктивные и объемно-планировочные решения </w:t>
      </w:r>
    </w:p>
    <w:p>
      <w:pPr>
        <w:pStyle w:val="Normal"/>
        <w:widowControl/>
        <w:ind w:firstLine="709"/>
        <w:rPr>
          <w:rFonts w:eastAsia="Times New Roman"/>
          <w:b/>
          <w:b/>
          <w:color w:val="000000" w:themeColor="text1"/>
        </w:rPr>
      </w:pPr>
      <w:r>
        <w:rPr>
          <w:rFonts w:eastAsia="Times New Roman"/>
          <w:b/>
          <w:color w:val="000000" w:themeColor="text1"/>
        </w:rPr>
      </w:r>
    </w:p>
    <w:p>
      <w:pPr>
        <w:pStyle w:val="Normal"/>
        <w:ind w:hanging="0"/>
        <w:rPr>
          <w:b/>
          <w:b/>
          <w:color w:val="000000" w:themeColor="text1"/>
          <w:highlight w:val="yellow"/>
        </w:rPr>
      </w:pPr>
      <w:r>
        <w:rPr>
          <w:b/>
          <w:color w:val="000000" w:themeColor="text1"/>
        </w:rPr>
        <w:t>3.2.3.1. Архитектурные решения</w:t>
      </w:r>
    </w:p>
    <w:p>
      <w:pPr>
        <w:pStyle w:val="Normal"/>
        <w:tabs>
          <w:tab w:val="left" w:pos="10065" w:leader="none"/>
        </w:tabs>
        <w:ind w:firstLine="709"/>
        <w:rPr>
          <w:color w:val="000000" w:themeColor="text1"/>
          <w:szCs w:val="28"/>
        </w:rPr>
      </w:pPr>
      <w:r>
        <w:rPr>
          <w:color w:val="000000" w:themeColor="text1"/>
          <w:szCs w:val="28"/>
        </w:rPr>
      </w:r>
    </w:p>
    <w:p>
      <w:pPr>
        <w:pStyle w:val="Normal"/>
        <w:ind w:firstLine="709"/>
        <w:rPr/>
      </w:pPr>
      <w:r>
        <w:rPr/>
        <w:t>Жилой дом состоит из семи типовых 10-ти этажных (включая технический чердак) блок-секций и одной типовой 17-этажной (включая технический чердак) блок-секции с нижним техническим этажом для прокладки инженерных коммуникаций (подвалом). К жилому дому примыкает 3-х этажное здание, выполненное в монолитных конструкциях, в котором размещены нежилые помещения (офисы).</w:t>
      </w:r>
    </w:p>
    <w:p>
      <w:pPr>
        <w:pStyle w:val="Style49"/>
        <w:ind w:left="0" w:right="0" w:firstLine="720"/>
        <w:rPr/>
      </w:pPr>
      <w:r>
        <w:rPr/>
        <w:t>Строительство  жилого комплекса (поз.4), включающего 3-х этажное здание с нежилыми помещениями (офисами), осуществляется в 2 этапа.</w:t>
      </w:r>
    </w:p>
    <w:p>
      <w:pPr>
        <w:pStyle w:val="Standard"/>
        <w:spacing w:lineRule="auto" w:line="240"/>
        <w:rPr>
          <w:rFonts w:ascii="Times New Roman" w:hAnsi="Times New Roman"/>
          <w:color w:val="000000"/>
          <w:sz w:val="24"/>
          <w:szCs w:val="24"/>
        </w:rPr>
      </w:pPr>
      <w:r>
        <w:rPr>
          <w:rFonts w:ascii="Times New Roman" w:hAnsi="Times New Roman"/>
          <w:b/>
          <w:bCs/>
          <w:color w:val="000000"/>
          <w:sz w:val="24"/>
          <w:szCs w:val="24"/>
        </w:rPr>
        <w:t>1 этап</w:t>
      </w:r>
      <w:r>
        <w:rPr>
          <w:rFonts w:ascii="Times New Roman" w:hAnsi="Times New Roman"/>
          <w:color w:val="000000"/>
          <w:sz w:val="24"/>
          <w:szCs w:val="24"/>
        </w:rPr>
        <w:t xml:space="preserve"> — пять сблокированных 10-ти этажных (включая технический чердак)  панельных секций жилых домов.</w:t>
      </w:r>
    </w:p>
    <w:p>
      <w:pPr>
        <w:pStyle w:val="Standard"/>
        <w:spacing w:lineRule="auto" w:line="240"/>
        <w:rPr>
          <w:rFonts w:ascii="Times New Roman" w:hAnsi="Times New Roman"/>
          <w:color w:val="000000"/>
          <w:sz w:val="24"/>
          <w:szCs w:val="24"/>
        </w:rPr>
      </w:pPr>
      <w:r>
        <w:rPr>
          <w:rFonts w:ascii="Times New Roman" w:hAnsi="Times New Roman"/>
          <w:b/>
          <w:bCs/>
          <w:color w:val="000000"/>
          <w:sz w:val="24"/>
          <w:szCs w:val="24"/>
        </w:rPr>
        <w:t>2 этап</w:t>
      </w:r>
      <w:r>
        <w:rPr>
          <w:rFonts w:ascii="Times New Roman" w:hAnsi="Times New Roman"/>
          <w:color w:val="000000"/>
          <w:sz w:val="24"/>
          <w:szCs w:val="24"/>
        </w:rPr>
        <w:t xml:space="preserve"> — две 10-ти этажные секции, сблокированные с 17-ти этажной (включая технический чердак) угловой секцией и пристроенное к 17-ти этажной секции 3-х этажное здание с нежилыми помещениями (офисами).</w:t>
      </w:r>
    </w:p>
    <w:p>
      <w:pPr>
        <w:pStyle w:val="Standard"/>
        <w:spacing w:lineRule="auto" w:line="240"/>
        <w:rPr>
          <w:rFonts w:ascii="Times New Roman" w:hAnsi="Times New Roman"/>
          <w:color w:val="000000"/>
          <w:sz w:val="24"/>
          <w:szCs w:val="24"/>
        </w:rPr>
      </w:pPr>
      <w:r>
        <w:rPr>
          <w:rFonts w:ascii="Times New Roman" w:hAnsi="Times New Roman"/>
          <w:color w:val="000000"/>
          <w:sz w:val="24"/>
          <w:szCs w:val="24"/>
        </w:rPr>
        <w:t xml:space="preserve">Здание имеет С-образную форму в плане, </w:t>
      </w:r>
      <w:r>
        <w:rPr>
          <w:rFonts w:ascii="Times New Roman" w:hAnsi="Times New Roman"/>
          <w:sz w:val="24"/>
          <w:szCs w:val="24"/>
        </w:rPr>
        <w:t>создающую уютное дворовое пространство с хорошей инсоляцией и аэрацией.</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Расположение здания на возвышении с видом на реку Волгу предполагает эстетические условия для проживания.</w:t>
      </w:r>
    </w:p>
    <w:p>
      <w:pPr>
        <w:pStyle w:val="Style49"/>
        <w:rPr/>
      </w:pPr>
      <w:r>
        <w:rPr/>
        <w:t>1 этап строительства:</w:t>
      </w:r>
    </w:p>
    <w:p>
      <w:pPr>
        <w:pStyle w:val="Standard"/>
        <w:spacing w:lineRule="auto" w:line="240"/>
        <w:ind w:left="-567" w:right="297" w:firstLine="720"/>
        <w:jc w:val="center"/>
        <w:rPr>
          <w:rFonts w:ascii="Times New Roman" w:hAnsi="Times New Roman"/>
          <w:bCs/>
          <w:sz w:val="24"/>
          <w:szCs w:val="24"/>
        </w:rPr>
      </w:pPr>
      <w:r>
        <w:rPr>
          <w:rFonts w:ascii="Times New Roman" w:hAnsi="Times New Roman"/>
          <w:bCs/>
          <w:sz w:val="24"/>
          <w:szCs w:val="24"/>
        </w:rPr>
        <w:t>Объемно-планировочные показатели:</w:t>
      </w:r>
    </w:p>
    <w:tbl>
      <w:tblPr>
        <w:tblW w:w="9924" w:type="dxa"/>
        <w:jc w:val="left"/>
        <w:tblInd w:w="4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firstRow="1" w:noVBand="1" w:lastRow="0" w:firstColumn="1" w:lastColumn="0" w:noHBand="0" w:val="04a0"/>
      </w:tblPr>
      <w:tblGrid>
        <w:gridCol w:w="2693"/>
        <w:gridCol w:w="850"/>
        <w:gridCol w:w="993"/>
        <w:gridCol w:w="992"/>
        <w:gridCol w:w="994"/>
        <w:gridCol w:w="1133"/>
        <w:gridCol w:w="991"/>
        <w:gridCol w:w="1"/>
        <w:gridCol w:w="1275"/>
      </w:tblGrid>
      <w:tr>
        <w:trPr>
          <w:trHeight w:val="675" w:hRule="exact"/>
        </w:trPr>
        <w:tc>
          <w:tcPr>
            <w:tcW w:w="2693" w:type="dxa"/>
            <w:vMerge w:val="restart"/>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r>
          </w:p>
          <w:p>
            <w:pPr>
              <w:pStyle w:val="Style45"/>
              <w:spacing w:lineRule="exact" w:line="500"/>
              <w:jc w:val="center"/>
              <w:rPr>
                <w:rFonts w:ascii="Times New Roman" w:hAnsi="Times New Roman" w:cs="Times New Roman"/>
              </w:rPr>
            </w:pPr>
            <w:r>
              <w:rPr>
                <w:rFonts w:cs="Times New Roman" w:ascii="Times New Roman" w:hAnsi="Times New Roman"/>
              </w:rPr>
              <w:t>Наименование</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850" w:type="dxa"/>
            <w:vMerge w:val="restart"/>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Ед.</w:t>
            </w:r>
          </w:p>
          <w:p>
            <w:pPr>
              <w:pStyle w:val="Style45"/>
              <w:spacing w:lineRule="exact" w:line="500"/>
              <w:jc w:val="center"/>
              <w:rPr>
                <w:rFonts w:ascii="Times New Roman" w:hAnsi="Times New Roman" w:cs="Times New Roman"/>
              </w:rPr>
            </w:pPr>
            <w:r>
              <w:rPr>
                <w:rFonts w:cs="Times New Roman" w:ascii="Times New Roman" w:hAnsi="Times New Roman"/>
              </w:rPr>
              <w:t>изм.</w:t>
            </w:r>
          </w:p>
        </w:tc>
        <w:tc>
          <w:tcPr>
            <w:tcW w:w="5103" w:type="dxa"/>
            <w:gridSpan w:val="5"/>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Кол. на секцию</w:t>
            </w:r>
          </w:p>
        </w:tc>
        <w:tc>
          <w:tcPr>
            <w:tcW w:w="1276" w:type="dxa"/>
            <w:gridSpan w:val="2"/>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r>
          </w:p>
          <w:p>
            <w:pPr>
              <w:pStyle w:val="Style45"/>
              <w:spacing w:lineRule="exact" w:line="500"/>
              <w:jc w:val="center"/>
              <w:rPr>
                <w:rFonts w:ascii="Times New Roman" w:hAnsi="Times New Roman" w:cs="Times New Roman"/>
              </w:rPr>
            </w:pPr>
            <w:r>
              <w:rPr>
                <w:rFonts w:cs="Times New Roman" w:ascii="Times New Roman" w:hAnsi="Times New Roman"/>
              </w:rPr>
              <w:t>Всего</w:t>
            </w:r>
          </w:p>
        </w:tc>
      </w:tr>
      <w:tr>
        <w:trPr>
          <w:trHeight w:val="630" w:hRule="exact"/>
        </w:trPr>
        <w:tc>
          <w:tcPr>
            <w:tcW w:w="2693" w:type="dxa"/>
            <w:vMerge w:val="continue"/>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Normal"/>
              <w:rPr/>
            </w:pPr>
            <w:r>
              <w:rPr/>
            </w:r>
          </w:p>
        </w:tc>
        <w:tc>
          <w:tcPr>
            <w:tcW w:w="850" w:type="dxa"/>
            <w:vMerge w:val="continue"/>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Normal"/>
              <w:rPr/>
            </w:pPr>
            <w:r>
              <w:rPr/>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1</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2</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3</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4</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5</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1275"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Normal"/>
              <w:rPr/>
            </w:pPr>
            <w:r>
              <w:rPr/>
            </w:r>
          </w:p>
        </w:tc>
      </w:tr>
      <w:tr>
        <w:trPr>
          <w:trHeight w:val="45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Тип квартир:</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r>
      <w:tr>
        <w:trPr>
          <w:trHeight w:val="45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шт.</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9</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8</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9</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62</w:t>
            </w:r>
          </w:p>
        </w:tc>
      </w:tr>
      <w:tr>
        <w:trPr>
          <w:trHeight w:val="45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2</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шт.</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9</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17</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80</w:t>
            </w:r>
          </w:p>
        </w:tc>
      </w:tr>
      <w:tr>
        <w:trPr>
          <w:trHeight w:val="45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шт.</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9</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10</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9</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46</w:t>
            </w:r>
          </w:p>
        </w:tc>
      </w:tr>
      <w:tr>
        <w:trPr>
          <w:trHeight w:val="45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Количество квартир</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шт.</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45</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36</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35</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36</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36</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188</w:t>
            </w:r>
          </w:p>
        </w:tc>
      </w:tr>
      <w:tr>
        <w:trPr>
          <w:trHeight w:val="45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Жилая площадь квартир</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2</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1673,37</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1165,23</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1170,48</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971,73</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1191,96</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6172,77</w:t>
            </w:r>
          </w:p>
        </w:tc>
      </w:tr>
      <w:tr>
        <w:trPr>
          <w:trHeight w:val="780"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Площадь квартир (без лоджий)</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2</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3138,57</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2079,27</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2076,14</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1960,02</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2141,28</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11395,28</w:t>
            </w:r>
          </w:p>
        </w:tc>
      </w:tr>
      <w:tr>
        <w:trPr>
          <w:trHeight w:val="45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Общая площадь квартир</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2</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3252,69</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2160,72</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2157,58</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2042,91</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2222,01</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11835,91</w:t>
            </w:r>
          </w:p>
        </w:tc>
      </w:tr>
      <w:tr>
        <w:trPr>
          <w:trHeight w:val="59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Общая площадь здания</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2</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4015,62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2765,88</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2761,41</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2609,46</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2829,78</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14982,15</w:t>
            </w:r>
          </w:p>
        </w:tc>
      </w:tr>
      <w:tr>
        <w:trPr>
          <w:trHeight w:val="600"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Площадь застройки</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2</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525</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375</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375</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350</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383</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2008</w:t>
            </w:r>
          </w:p>
        </w:tc>
      </w:tr>
      <w:tr>
        <w:trPr>
          <w:trHeight w:val="911" w:hRule="atLeas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Строительный объем здания, в т.ч.:</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3</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15596</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10850</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10878</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10246</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11132</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58702</w:t>
            </w:r>
          </w:p>
        </w:tc>
      </w:tr>
      <w:tr>
        <w:trPr>
          <w:trHeight w:val="44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textAlignment w:val="baseline"/>
              <w:rPr>
                <w:rFonts w:ascii="Times New Roman" w:hAnsi="Times New Roman" w:cs="Times New Roman"/>
              </w:rPr>
            </w:pPr>
            <w:r>
              <w:rPr>
                <w:rFonts w:cs="Times New Roman" w:ascii="Times New Roman" w:hAnsi="Times New Roman"/>
              </w:rPr>
              <w:t>подземной  части</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3</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1101</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763</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765</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718</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783</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4132</w:t>
            </w:r>
          </w:p>
        </w:tc>
      </w:tr>
      <w:tr>
        <w:trPr>
          <w:trHeight w:val="454" w:hRule="atLeas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Количество этажей здания (включая чердак)</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этаж</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10</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10</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10</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10</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10</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w:t>
            </w:r>
          </w:p>
        </w:tc>
      </w:tr>
      <w:tr>
        <w:trPr>
          <w:trHeight w:val="454" w:hRule="atLeas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Высота здания (от ур. проезда пожарной техники до низа окна верхнего жилого этажа)</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м</w:t>
            </w:r>
          </w:p>
          <w:p>
            <w:pPr>
              <w:pStyle w:val="Style45"/>
              <w:jc w:val="center"/>
              <w:rPr>
                <w:rFonts w:ascii="Times New Roman" w:hAnsi="Times New Roman" w:cs="Times New Roman"/>
              </w:rPr>
            </w:pPr>
            <w:r>
              <w:rPr>
                <w:rFonts w:cs="Times New Roman" w:ascii="Times New Roman" w:hAnsi="Times New Roman"/>
              </w:rPr>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26,40</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26,44</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26,39</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25,94</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25,94</w:t>
            </w:r>
          </w:p>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w:t>
            </w:r>
          </w:p>
        </w:tc>
      </w:tr>
      <w:tr>
        <w:trPr>
          <w:trHeight w:val="45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Высота жилого этажа</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3,0</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3,0</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3,0</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3,0</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3,0</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w:t>
            </w:r>
          </w:p>
        </w:tc>
      </w:tr>
      <w:tr>
        <w:trPr>
          <w:trHeight w:val="64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Высота подвала</w:t>
            </w:r>
          </w:p>
          <w:p>
            <w:pPr>
              <w:pStyle w:val="Style45"/>
              <w:rPr>
                <w:rFonts w:ascii="Times New Roman" w:hAnsi="Times New Roman" w:cs="Times New Roman"/>
              </w:rPr>
            </w:pPr>
            <w:r>
              <w:rPr>
                <w:rFonts w:cs="Times New Roman" w:ascii="Times New Roman" w:hAnsi="Times New Roman"/>
              </w:rPr>
              <w:t>(в свету)</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2,2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2,2</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2,2</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2,2</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2,2</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w:t>
            </w:r>
          </w:p>
        </w:tc>
      </w:tr>
      <w:tr>
        <w:trPr>
          <w:trHeight w:val="684"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Высота чердака</w:t>
            </w:r>
          </w:p>
          <w:p>
            <w:pPr>
              <w:pStyle w:val="Style45"/>
              <w:rPr>
                <w:rFonts w:ascii="Times New Roman" w:hAnsi="Times New Roman" w:cs="Times New Roman"/>
              </w:rPr>
            </w:pPr>
            <w:r>
              <w:rPr>
                <w:rFonts w:cs="Times New Roman" w:ascii="Times New Roman" w:hAnsi="Times New Roman"/>
              </w:rPr>
              <w:t>(в свету)</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1,8</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w:t>
            </w:r>
          </w:p>
        </w:tc>
      </w:tr>
      <w:tr>
        <w:trPr>
          <w:trHeight w:val="651" w:hRule="exact"/>
        </w:trPr>
        <w:tc>
          <w:tcPr>
            <w:tcW w:w="2693"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Расчетное количество</w:t>
            </w:r>
          </w:p>
          <w:p>
            <w:pPr>
              <w:pStyle w:val="Style45"/>
              <w:rPr>
                <w:rFonts w:ascii="Times New Roman" w:hAnsi="Times New Roman" w:cs="Times New Roman"/>
              </w:rPr>
            </w:pPr>
            <w:r>
              <w:rPr>
                <w:rFonts w:cs="Times New Roman" w:ascii="Times New Roman" w:hAnsi="Times New Roman"/>
              </w:rPr>
              <w:t>проживающих</w:t>
            </w:r>
          </w:p>
        </w:tc>
        <w:tc>
          <w:tcPr>
            <w:tcW w:w="850"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чел.</w:t>
            </w:r>
          </w:p>
        </w:tc>
        <w:tc>
          <w:tcPr>
            <w:tcW w:w="99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125</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83</w:t>
            </w:r>
          </w:p>
        </w:tc>
        <w:tc>
          <w:tcPr>
            <w:tcW w:w="99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83</w:t>
            </w:r>
          </w:p>
        </w:tc>
        <w:tc>
          <w:tcPr>
            <w:tcW w:w="113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79</w:t>
            </w:r>
          </w:p>
        </w:tc>
        <w:tc>
          <w:tcPr>
            <w:tcW w:w="992" w:type="dxa"/>
            <w:gridSpan w:val="2"/>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86</w:t>
            </w:r>
          </w:p>
        </w:tc>
        <w:tc>
          <w:tcPr>
            <w:tcW w:w="1275"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456</w:t>
            </w:r>
          </w:p>
        </w:tc>
      </w:tr>
    </w:tbl>
    <w:p>
      <w:pPr>
        <w:pStyle w:val="Style32"/>
        <w:jc w:val="left"/>
        <w:rPr>
          <w:b/>
          <w:b/>
          <w:bCs/>
        </w:rPr>
      </w:pPr>
      <w:r>
        <w:rPr>
          <w:b/>
          <w:bCs/>
        </w:rPr>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1 секция — угловая левая с  размерами в плане в осях – 12,3 (16,8) х 30,6м;</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2 секция — торцевая левая с размерами в плане в осях — 13,8 х 22,8м;</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3 секция - торцевая правая с размерами в плане в осях — 13,8 х 22,8м;</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4 секция — угловая левая с  размерами в плане в осях – 12,3 (16,8) х 20,4м;</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5 секция - торцевая правая с размерами в плане в осях — 13,8 х 23,4м.</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Относительный уровень чистого пола секций имеет единую абсолютную отметку, линии окон находятся на одной высоте.</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Вертикальная геометрия здания — все секции имеют одинаковую высоту.</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Отделка фасада — фасадная штукатурная система «Мокрый фасад» по выравнивающему слою из минераловатных плит на базальтовом заполнителе.</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Решение фасада в трех цветах (светло-коричневый, песочный и белый) задает постепенный цветовой переход по высоте здания.</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Цоколь облицован крупноразмерной фасадной плиткой темно-коричневого цвета.</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Вертикальные линии фасада выделены витражными конструкциями остекления лоджий.</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Над лоджиями верхних этажей устроены декоративные козырьки из металлочерепицы.</w:t>
      </w:r>
    </w:p>
    <w:p>
      <w:pPr>
        <w:pStyle w:val="Textbody"/>
        <w:ind w:left="0" w:right="0" w:firstLine="709"/>
        <w:jc w:val="both"/>
        <w:rPr>
          <w:rFonts w:ascii="Times New Roman" w:hAnsi="Times New Roman" w:cs="Times New Roman"/>
        </w:rPr>
      </w:pPr>
      <w:r>
        <w:rPr>
          <w:rFonts w:cs="Times New Roman" w:ascii="Times New Roman" w:hAnsi="Times New Roman"/>
        </w:rPr>
        <w:t>Высота здания от поверхности проезда пожарной техники до нижней границы окна верхнего этажа составляет менее 50м.</w:t>
      </w:r>
    </w:p>
    <w:p>
      <w:pPr>
        <w:pStyle w:val="Textbody"/>
        <w:ind w:left="0" w:right="0" w:hanging="0"/>
        <w:rPr>
          <w:rFonts w:ascii="Times New Roman" w:hAnsi="Times New Roman" w:cs="Times New Roman"/>
        </w:rPr>
      </w:pPr>
      <w:r>
        <w:rPr>
          <w:rFonts w:cs="Times New Roman" w:ascii="Times New Roman" w:hAnsi="Times New Roman"/>
        </w:rPr>
        <w:t>Здание включает в себя:</w:t>
      </w:r>
    </w:p>
    <w:p>
      <w:pPr>
        <w:pStyle w:val="Textbody"/>
        <w:spacing w:before="0" w:after="0"/>
        <w:ind w:left="0" w:right="0" w:hanging="0"/>
        <w:rPr>
          <w:rFonts w:ascii="Times New Roman" w:hAnsi="Times New Roman" w:cs="Times New Roman"/>
        </w:rPr>
      </w:pPr>
      <w:r>
        <w:rPr>
          <w:rFonts w:cs="Times New Roman" w:ascii="Times New Roman" w:hAnsi="Times New Roman"/>
          <w:u w:val="single"/>
        </w:rPr>
        <w:t>1,2 и 5 секции:</w:t>
      </w:r>
    </w:p>
    <w:p>
      <w:pPr>
        <w:pStyle w:val="Textbody"/>
        <w:spacing w:before="0" w:after="0"/>
        <w:ind w:left="0" w:right="0" w:hanging="0"/>
        <w:rPr>
          <w:rFonts w:ascii="Times New Roman" w:hAnsi="Times New Roman" w:cs="Times New Roman"/>
        </w:rPr>
      </w:pPr>
      <w:r>
        <w:rPr>
          <w:rFonts w:cs="Times New Roman" w:ascii="Times New Roman" w:hAnsi="Times New Roman"/>
        </w:rPr>
        <w:t>-подвал;</w:t>
      </w:r>
    </w:p>
    <w:p>
      <w:pPr>
        <w:pStyle w:val="Textbody"/>
        <w:spacing w:before="0" w:after="0"/>
        <w:ind w:left="0" w:right="0" w:hanging="0"/>
        <w:rPr>
          <w:rFonts w:ascii="Times New Roman" w:hAnsi="Times New Roman" w:cs="Times New Roman"/>
        </w:rPr>
      </w:pPr>
      <w:r>
        <w:rPr>
          <w:rFonts w:cs="Times New Roman" w:ascii="Times New Roman" w:hAnsi="Times New Roman"/>
        </w:rPr>
        <w:t>-1, 2 и 3-х комнатные квартиры, расположенные со 1-го по 9-й этажи;</w:t>
      </w:r>
    </w:p>
    <w:p>
      <w:pPr>
        <w:pStyle w:val="Textbody"/>
        <w:spacing w:before="0" w:after="0"/>
        <w:ind w:left="0" w:right="0" w:hanging="0"/>
        <w:rPr>
          <w:rFonts w:ascii="Times New Roman" w:hAnsi="Times New Roman" w:cs="Times New Roman"/>
        </w:rPr>
      </w:pPr>
      <w:r>
        <w:rPr>
          <w:rFonts w:cs="Times New Roman" w:ascii="Times New Roman" w:hAnsi="Times New Roman"/>
        </w:rPr>
        <w:t>-технический чердак.</w:t>
      </w:r>
    </w:p>
    <w:p>
      <w:pPr>
        <w:pStyle w:val="Textbody"/>
        <w:spacing w:before="0" w:after="0"/>
        <w:ind w:left="0" w:right="0" w:hanging="0"/>
        <w:rPr>
          <w:rFonts w:ascii="Times New Roman" w:hAnsi="Times New Roman" w:cs="Times New Roman"/>
        </w:rPr>
      </w:pPr>
      <w:r>
        <w:rPr>
          <w:rFonts w:cs="Times New Roman" w:ascii="Times New Roman" w:hAnsi="Times New Roman"/>
          <w:u w:val="single"/>
        </w:rPr>
        <w:t>3 секция:</w:t>
      </w:r>
    </w:p>
    <w:p>
      <w:pPr>
        <w:pStyle w:val="Textbody"/>
        <w:spacing w:before="0" w:after="0"/>
        <w:ind w:left="0" w:right="0" w:hanging="0"/>
        <w:rPr>
          <w:rFonts w:ascii="Times New Roman" w:hAnsi="Times New Roman" w:cs="Times New Roman"/>
        </w:rPr>
      </w:pPr>
      <w:r>
        <w:rPr>
          <w:rFonts w:cs="Times New Roman" w:ascii="Times New Roman" w:hAnsi="Times New Roman"/>
        </w:rPr>
        <w:t>- подвал;</w:t>
      </w:r>
    </w:p>
    <w:p>
      <w:pPr>
        <w:pStyle w:val="Textbody"/>
        <w:spacing w:before="0" w:after="0"/>
        <w:ind w:left="0" w:right="0" w:hanging="0"/>
        <w:rPr>
          <w:rFonts w:ascii="Times New Roman" w:hAnsi="Times New Roman" w:cs="Times New Roman"/>
        </w:rPr>
      </w:pPr>
      <w:r>
        <w:rPr>
          <w:rFonts w:cs="Times New Roman" w:ascii="Times New Roman" w:hAnsi="Times New Roman"/>
        </w:rPr>
        <w:t>- сквозной проход;</w:t>
      </w:r>
    </w:p>
    <w:p>
      <w:pPr>
        <w:pStyle w:val="Textbody"/>
        <w:spacing w:before="0" w:after="0"/>
        <w:ind w:left="0" w:right="0" w:hanging="0"/>
        <w:rPr>
          <w:rFonts w:ascii="Times New Roman" w:hAnsi="Times New Roman" w:cs="Times New Roman"/>
        </w:rPr>
      </w:pPr>
      <w:r>
        <w:rPr>
          <w:rFonts w:cs="Times New Roman" w:ascii="Times New Roman" w:hAnsi="Times New Roman"/>
        </w:rPr>
        <w:t>- 1, 2 и 3-х комнатные квартиры, расположенные со 1-го по 9-й этажи;</w:t>
      </w:r>
    </w:p>
    <w:p>
      <w:pPr>
        <w:pStyle w:val="Textbody"/>
        <w:spacing w:before="0" w:after="0"/>
        <w:ind w:left="0" w:right="0" w:hanging="0"/>
        <w:rPr>
          <w:rFonts w:ascii="Times New Roman" w:hAnsi="Times New Roman" w:cs="Times New Roman"/>
        </w:rPr>
      </w:pPr>
      <w:r>
        <w:rPr>
          <w:rFonts w:cs="Times New Roman" w:ascii="Times New Roman" w:hAnsi="Times New Roman"/>
        </w:rPr>
        <w:t>- технический чердак.</w:t>
      </w:r>
    </w:p>
    <w:p>
      <w:pPr>
        <w:pStyle w:val="Textbody"/>
        <w:spacing w:before="0" w:after="0"/>
        <w:ind w:left="0" w:right="0" w:hanging="0"/>
        <w:rPr>
          <w:rFonts w:ascii="Times New Roman" w:hAnsi="Times New Roman" w:cs="Times New Roman"/>
          <w:u w:val="single"/>
        </w:rPr>
      </w:pPr>
      <w:r>
        <w:rPr>
          <w:rFonts w:cs="Times New Roman" w:ascii="Times New Roman" w:hAnsi="Times New Roman"/>
          <w:u w:val="single"/>
        </w:rPr>
        <w:t>4 секция:</w:t>
      </w:r>
    </w:p>
    <w:p>
      <w:pPr>
        <w:pStyle w:val="Textbody"/>
        <w:spacing w:before="0" w:after="0"/>
        <w:ind w:left="0" w:right="0" w:hanging="0"/>
        <w:rPr>
          <w:rFonts w:ascii="Times New Roman" w:hAnsi="Times New Roman" w:cs="Times New Roman"/>
        </w:rPr>
      </w:pPr>
      <w:r>
        <w:rPr>
          <w:rFonts w:cs="Times New Roman" w:ascii="Times New Roman" w:hAnsi="Times New Roman"/>
        </w:rPr>
        <w:t>- подвал;</w:t>
      </w:r>
    </w:p>
    <w:p>
      <w:pPr>
        <w:pStyle w:val="Textbody"/>
        <w:spacing w:before="0" w:after="0"/>
        <w:ind w:left="0" w:right="0" w:hanging="0"/>
        <w:rPr>
          <w:rFonts w:ascii="Times New Roman" w:hAnsi="Times New Roman" w:cs="Times New Roman"/>
        </w:rPr>
      </w:pPr>
      <w:r>
        <w:rPr>
          <w:rFonts w:cs="Times New Roman" w:ascii="Times New Roman" w:hAnsi="Times New Roman"/>
        </w:rPr>
        <w:t>- 1 и 2-х комнатные квартиры, расположенные со 1-го по 9-й этажи;</w:t>
      </w:r>
    </w:p>
    <w:p>
      <w:pPr>
        <w:pStyle w:val="Textbody"/>
        <w:spacing w:before="0" w:after="0"/>
        <w:ind w:left="0" w:right="0" w:hanging="0"/>
        <w:rPr>
          <w:rFonts w:ascii="Times New Roman" w:hAnsi="Times New Roman" w:cs="Times New Roman"/>
        </w:rPr>
      </w:pPr>
      <w:r>
        <w:rPr>
          <w:rFonts w:cs="Times New Roman" w:ascii="Times New Roman" w:hAnsi="Times New Roman"/>
        </w:rPr>
        <w:t>- технический чердак.</w:t>
      </w:r>
    </w:p>
    <w:p>
      <w:pPr>
        <w:pStyle w:val="Textbody"/>
        <w:spacing w:before="0" w:after="0"/>
        <w:ind w:left="0" w:right="0" w:hanging="0"/>
        <w:rPr>
          <w:rFonts w:ascii="Times New Roman" w:hAnsi="Times New Roman" w:cs="Times New Roman"/>
        </w:rPr>
      </w:pPr>
      <w:r>
        <w:rPr>
          <w:rFonts w:cs="Times New Roman" w:ascii="Times New Roman" w:hAnsi="Times New Roman"/>
        </w:rPr>
      </w:r>
    </w:p>
    <w:p>
      <w:pPr>
        <w:pStyle w:val="Textbody"/>
        <w:spacing w:before="0" w:after="0"/>
        <w:ind w:left="0" w:right="0" w:firstLine="709"/>
        <w:jc w:val="both"/>
        <w:rPr>
          <w:rFonts w:ascii="Times New Roman" w:hAnsi="Times New Roman" w:cs="Times New Roman"/>
          <w:b/>
          <w:b/>
          <w:bCs/>
        </w:rPr>
      </w:pPr>
      <w:r>
        <w:rPr>
          <w:rFonts w:cs="Times New Roman" w:ascii="Times New Roman" w:hAnsi="Times New Roman"/>
          <w:b/>
          <w:bCs/>
        </w:rPr>
        <w:t>Жилая часть здания</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В жилом здании по заданию на проектирование предусмотрена доступность для маломобильных групп населения (МГН) — только на 1 этаж. Выполнен наружный пандус  двери входа &gt;1,2м.</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Лестнично-лифтовый блок каждой из секций объединяет лестничную клетку (тип Л1) с лифтом и мусоропроводом, расположен по центру  секции и  отделен от внеквартирных коридоров жилой части железобетонными  стенами.</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Лестничная клетка типа Л1 имеет выход непосредственно наружу через распашные двери шириной 1,5 м.</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Лифт - пассажирский грузоподъемностью 1000 кг.Скорость подъема лифта 1.0 м/сек.</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Ширина площадки перед лифтом — не менее 2,1м при глубине кабины 2100мм.</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Жилой дом обеспечен мусоропроводом с огнезащитным шибером, системами очистки и автоматическим пожаротушением.</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Мусоросборная камера имеет самостоятельный вход, изолированный от входа в здание и перекрытый козырьком.</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Внеквартирные коридоры шириной 1.64м и длиной до 12м ведут от лестнично-лифтового холла к квартирам.</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В каждой квартире, расположенной на высоте более 15м, предусмотрены аварийные выходы на лоджию с глухим простенком размером 1,2м от торца лоджии до оконного проема или выходы на лоджию, оборудованную наружной лестницей, поэтажно соединяющей лоджии.</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Кладовая уборочного инвентаря расположена на 1-м этаже 3-й секции и оборудована раковиной и поддоном.</w:t>
      </w:r>
    </w:p>
    <w:p>
      <w:pPr>
        <w:pStyle w:val="Textbody"/>
        <w:spacing w:before="0" w:after="0"/>
        <w:ind w:left="0" w:right="0" w:firstLine="709"/>
        <w:jc w:val="both"/>
        <w:rPr>
          <w:rFonts w:ascii="Times New Roman" w:hAnsi="Times New Roman" w:cs="Times New Roman"/>
        </w:rPr>
      </w:pPr>
      <w:r>
        <w:rPr>
          <w:rFonts w:cs="Times New Roman" w:ascii="Times New Roman" w:hAnsi="Times New Roman"/>
          <w:u w:val="single"/>
        </w:rPr>
        <w:t>Сквозной проход</w:t>
      </w:r>
      <w:r>
        <w:rPr>
          <w:rFonts w:cs="Times New Roman" w:ascii="Times New Roman" w:hAnsi="Times New Roman"/>
        </w:rPr>
        <w:t xml:space="preserve"> выполнен на первом этаже 3-й секции на расстоянии менее 100м по внешнему обводу здания со стороны пожарных гидрантов.</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Подвал предназначен для прокладки инженерных коммуникаций и технических помещений (электрощитовые, ИТП, водомерный узел).</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Подвал — теплый, обогреваемый за счет остаточного тепла нижней разводки труб систем отопления и горячего водоснабжения.</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Подвал не имеет прямого сообщения с жилой частью здания. Выходы  расположены рассредоточено и ведут непосредственно наружу.</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В подвале выполнены продухи площадью 0,05м</w:t>
      </w:r>
      <w:r>
        <w:rPr>
          <w:rFonts w:cs="Times New Roman" w:ascii="Times New Roman" w:hAnsi="Times New Roman"/>
          <w:vertAlign w:val="superscript"/>
        </w:rPr>
        <w:t xml:space="preserve">2 </w:t>
      </w:r>
      <w:r>
        <w:rPr>
          <w:rFonts w:cs="Times New Roman" w:ascii="Times New Roman" w:hAnsi="Times New Roman"/>
        </w:rPr>
        <w:t xml:space="preserve"> и компенсирующие  решетки Евровент  в дверях выхода из подвала общей площадью не менее 1/400 площади пола подвала.</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В подвале выполнены приямки дымоудаления с окнами размером 0,9х1,2м.</w:t>
      </w:r>
    </w:p>
    <w:p>
      <w:pPr>
        <w:pStyle w:val="Textbody"/>
        <w:spacing w:before="0" w:after="0"/>
        <w:ind w:left="0" w:right="0" w:firstLine="709"/>
        <w:jc w:val="both"/>
        <w:rPr>
          <w:rFonts w:ascii="Times New Roman" w:hAnsi="Times New Roman" w:cs="Times New Roman"/>
        </w:rPr>
      </w:pPr>
      <w:r>
        <w:rPr>
          <w:rFonts w:cs="Times New Roman" w:ascii="Times New Roman" w:hAnsi="Times New Roman"/>
          <w:u w:val="single"/>
        </w:rPr>
        <w:t>Чердак</w:t>
      </w:r>
      <w:r>
        <w:rPr>
          <w:rFonts w:cs="Times New Roman" w:ascii="Times New Roman" w:hAnsi="Times New Roman"/>
        </w:rPr>
        <w:t xml:space="preserve"> — технический и предназначен для прокладки инженерных коммуникаций.</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При площади чердака более 300м</w:t>
      </w:r>
      <w:r>
        <w:rPr>
          <w:rFonts w:cs="Times New Roman" w:ascii="Times New Roman" w:hAnsi="Times New Roman"/>
          <w:vertAlign w:val="superscript"/>
        </w:rPr>
        <w:t>2</w:t>
      </w:r>
      <w:r>
        <w:rPr>
          <w:rFonts w:cs="Times New Roman" w:ascii="Times New Roman" w:hAnsi="Times New Roman"/>
        </w:rPr>
        <w:t xml:space="preserve"> выполнено два выхода — на лестничную клетку секций и лестничные клетки смежных секций, соединенных проемом.</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Чердак здания – теплый, обогреваемый воздухом вытяжной вентиляции и верхней разводки труб систем отопления. Воздух из вентканалов объединяется в пространстве чердака и выводится наружу через вытяжные шахты с дефлекторами.</w:t>
      </w:r>
    </w:p>
    <w:p>
      <w:pPr>
        <w:pStyle w:val="Textbody"/>
        <w:spacing w:before="0" w:after="0"/>
        <w:ind w:left="0" w:right="0" w:firstLine="709"/>
        <w:jc w:val="both"/>
        <w:rPr>
          <w:rFonts w:ascii="Times New Roman" w:hAnsi="Times New Roman" w:cs="Times New Roman"/>
          <w:color w:val="000000"/>
        </w:rPr>
      </w:pPr>
      <w:r>
        <w:rPr>
          <w:rFonts w:cs="Times New Roman" w:ascii="Times New Roman" w:hAnsi="Times New Roman"/>
          <w:color w:val="000000"/>
        </w:rPr>
        <w:t>Выход на кровлю предусмотрен непосредственно наружу из лестничной клетки через противопожарную дверь.</w:t>
      </w:r>
    </w:p>
    <w:p>
      <w:pPr>
        <w:pStyle w:val="Textbody"/>
        <w:spacing w:before="0" w:after="0"/>
        <w:ind w:left="0" w:right="0" w:firstLine="709"/>
        <w:jc w:val="both"/>
        <w:rPr>
          <w:rFonts w:ascii="Times New Roman" w:hAnsi="Times New Roman" w:cs="Times New Roman"/>
          <w:color w:val="009900"/>
        </w:rPr>
      </w:pPr>
      <w:r>
        <w:rPr>
          <w:rFonts w:cs="Times New Roman" w:ascii="Times New Roman" w:hAnsi="Times New Roman"/>
          <w:color w:val="000000"/>
        </w:rPr>
        <w:t>Лестнично-лифтовой блок возвышается над чердаком на 2,4м</w:t>
      </w:r>
      <w:r>
        <w:rPr>
          <w:rFonts w:cs="Times New Roman" w:ascii="Times New Roman" w:hAnsi="Times New Roman"/>
          <w:color w:val="009900"/>
        </w:rPr>
        <w:t>.</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В соответствии с Проектом планировки территории земельный участок расположен в пределах красных линий и входит в состав функциональной зоны</w:t>
      </w:r>
    </w:p>
    <w:p>
      <w:pPr>
        <w:pStyle w:val="Textbody"/>
        <w:spacing w:before="0" w:after="0"/>
        <w:ind w:left="0" w:right="0" w:firstLine="709"/>
        <w:jc w:val="both"/>
        <w:rPr>
          <w:rFonts w:ascii="Times New Roman" w:hAnsi="Times New Roman" w:cs="Times New Roman"/>
        </w:rPr>
      </w:pPr>
      <w:r>
        <w:rPr>
          <w:rFonts w:cs="Times New Roman" w:ascii="Times New Roman" w:hAnsi="Times New Roman"/>
          <w:b/>
          <w:bCs/>
        </w:rPr>
        <w:t>Ж4</w:t>
      </w:r>
      <w:r>
        <w:rPr>
          <w:rFonts w:cs="Times New Roman" w:ascii="Times New Roman" w:hAnsi="Times New Roman"/>
        </w:rPr>
        <w:t xml:space="preserve"> — «Зона многоэтажной жилой застройки».</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Фасад здания выполнен в трёх цветах (светло-коричневый, песочный и белый).</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Цоколь — облицовка крупноразмерной фасадной плиткой тёмно-коричневого цвета.</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Лоджии остеклены витражами из профилей белого цвета.</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Над лоджиями верхних этажей устроены декоративные козырьки из металлочерепицы.</w:t>
      </w:r>
    </w:p>
    <w:p>
      <w:pPr>
        <w:pStyle w:val="Textbody"/>
        <w:spacing w:before="0" w:after="0"/>
        <w:ind w:left="0" w:right="0" w:firstLine="709"/>
        <w:jc w:val="both"/>
        <w:rPr>
          <w:rFonts w:ascii="Times New Roman" w:hAnsi="Times New Roman" w:cs="Times New Roman"/>
          <w:b/>
          <w:b/>
          <w:bCs/>
        </w:rPr>
      </w:pPr>
      <w:r>
        <w:rPr>
          <w:rFonts w:cs="Times New Roman" w:ascii="Times New Roman" w:hAnsi="Times New Roman"/>
          <w:b/>
          <w:bCs/>
        </w:rPr>
        <w:t xml:space="preserve">Жилая часть здания </w:t>
      </w:r>
      <w:r>
        <w:rPr>
          <w:rFonts w:cs="Times New Roman" w:ascii="Times New Roman" w:hAnsi="Times New Roman"/>
        </w:rPr>
        <w:t>(класс функциональной пожарной опасности — Ф1.3):</w:t>
      </w:r>
    </w:p>
    <w:p>
      <w:pPr>
        <w:pStyle w:val="Textbody"/>
        <w:spacing w:before="0" w:after="0"/>
        <w:ind w:left="0" w:right="0" w:firstLine="709"/>
        <w:jc w:val="both"/>
        <w:rPr>
          <w:rFonts w:ascii="Times New Roman" w:hAnsi="Times New Roman" w:cs="Times New Roman"/>
          <w:u w:val="single"/>
        </w:rPr>
      </w:pPr>
      <w:r>
        <w:rPr>
          <w:rFonts w:cs="Times New Roman" w:ascii="Times New Roman" w:hAnsi="Times New Roman"/>
          <w:u w:val="single"/>
        </w:rPr>
        <w:t>Класс пожарной опасности отделочных материалов должен быть не более:</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Стены и потолки лестничной клетки и лифтового холла — КМ1;</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Стены и потолки внеквартирных коридоров — КМ2;</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Покрытие полов лестничной клетки и лифтового холла — КМ2;</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Покрытие полов внеквартирных коридоров — КМ3.</w:t>
      </w:r>
    </w:p>
    <w:p>
      <w:pPr>
        <w:pStyle w:val="Textbody"/>
        <w:spacing w:before="0" w:after="0"/>
        <w:ind w:left="0" w:right="0" w:firstLine="709"/>
        <w:jc w:val="both"/>
        <w:rPr>
          <w:rFonts w:ascii="Times New Roman" w:hAnsi="Times New Roman" w:cs="Times New Roman"/>
          <w:u w:val="single"/>
        </w:rPr>
      </w:pPr>
      <w:r>
        <w:rPr>
          <w:rFonts w:cs="Times New Roman" w:ascii="Times New Roman" w:hAnsi="Times New Roman"/>
          <w:u w:val="single"/>
        </w:rPr>
        <w:t>Стены:</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окраска водоэмульсионной краской - внеквартирные коридоры, лестнично-лифтовые блоки, технические помещения;</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облицовка глазурованной плиткой -  мусорокамеры, КУИ;</w:t>
      </w:r>
    </w:p>
    <w:p>
      <w:pPr>
        <w:pStyle w:val="Textbody"/>
        <w:spacing w:before="0" w:after="0"/>
        <w:ind w:left="0" w:right="0" w:firstLine="709"/>
        <w:jc w:val="both"/>
        <w:rPr>
          <w:rFonts w:ascii="Times New Roman" w:hAnsi="Times New Roman" w:cs="Times New Roman"/>
          <w:u w:val="single"/>
        </w:rPr>
      </w:pPr>
      <w:r>
        <w:rPr>
          <w:rFonts w:cs="Times New Roman" w:ascii="Times New Roman" w:hAnsi="Times New Roman"/>
          <w:u w:val="single"/>
        </w:rPr>
        <w:t>Потолки:</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окраска водоэмульсионной краской потолков внеквартирных коридоров, лестнично-лифтовых блоков, технических помещений, КУИ.</w:t>
      </w:r>
    </w:p>
    <w:p>
      <w:pPr>
        <w:pStyle w:val="Textbody"/>
        <w:spacing w:before="0" w:after="0"/>
        <w:ind w:left="0" w:right="0" w:firstLine="709"/>
        <w:jc w:val="both"/>
        <w:rPr>
          <w:rFonts w:ascii="Times New Roman" w:hAnsi="Times New Roman" w:cs="Times New Roman"/>
          <w:u w:val="single"/>
        </w:rPr>
      </w:pPr>
      <w:r>
        <w:rPr>
          <w:rFonts w:cs="Times New Roman" w:ascii="Times New Roman" w:hAnsi="Times New Roman"/>
          <w:u w:val="single"/>
        </w:rPr>
        <w:t>Полы:</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керамическая плитка с шероховатой поверхностью — внеквартирные коридоры, КУИ, мусорокамеры, машинные отделения лифтов, технические помещения.</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Освещение помещений квартир осуществляется через окна и балконные двери в проемах наружных стен.</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Отношение площади окон к площади пола жилых комнат находится в пределах 1/8 и не превышает в среднем по дому 1/5.</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Освещение лестничной клетки — через окна площадью не менее 1,2м</w:t>
      </w:r>
      <w:r>
        <w:rPr>
          <w:rFonts w:cs="Times New Roman" w:ascii="Times New Roman" w:hAnsi="Times New Roman"/>
          <w:vertAlign w:val="superscript"/>
        </w:rPr>
        <w:t>2</w:t>
      </w:r>
      <w:r>
        <w:rPr>
          <w:rFonts w:cs="Times New Roman" w:ascii="Times New Roman" w:hAnsi="Times New Roman"/>
        </w:rPr>
        <w:t>.</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Освещение тамбуров входов — через частичное остекление дверных блоков.</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Для защиты от технического шума производственного оборудования электрощитовых, насосной и ИТП, расположенных под нежилыми помещениями, выполнена звукоизоляция потолка.</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t>Шахта лифта, как и ствол мусоропровода, отделены от примыкающих перекрытий зазором 40мм с заполнением минеральной ватой.</w:t>
      </w:r>
    </w:p>
    <w:p>
      <w:pPr>
        <w:pStyle w:val="Textbody"/>
        <w:spacing w:before="0" w:after="0"/>
        <w:ind w:left="0" w:right="0" w:firstLine="709"/>
        <w:jc w:val="both"/>
        <w:rPr>
          <w:rFonts w:ascii="Times New Roman" w:hAnsi="Times New Roman" w:cs="Times New Roman"/>
        </w:rPr>
      </w:pPr>
      <w:r>
        <w:rPr>
          <w:rFonts w:cs="Times New Roman" w:ascii="Times New Roman" w:hAnsi="Times New Roman"/>
        </w:rPr>
      </w:r>
    </w:p>
    <w:p>
      <w:pPr>
        <w:pStyle w:val="Textbody"/>
        <w:spacing w:before="0" w:after="0"/>
        <w:ind w:left="-567" w:right="-1" w:firstLine="709"/>
        <w:jc w:val="center"/>
        <w:rPr>
          <w:rFonts w:ascii="Times New Roman" w:hAnsi="Times New Roman" w:cs="Times New Roman"/>
        </w:rPr>
      </w:pPr>
      <w:r>
        <w:rPr>
          <w:rFonts w:cs="Times New Roman" w:ascii="Times New Roman" w:hAnsi="Times New Roman"/>
        </w:rPr>
      </w:r>
    </w:p>
    <w:p>
      <w:pPr>
        <w:pStyle w:val="Textbody"/>
        <w:spacing w:before="0" w:after="0"/>
        <w:ind w:left="0" w:hanging="0"/>
        <w:jc w:val="center"/>
        <w:rPr>
          <w:rFonts w:ascii="Times New Roman" w:hAnsi="Times New Roman" w:cs="Times New Roman"/>
          <w:b/>
          <w:b/>
        </w:rPr>
      </w:pPr>
      <w:r>
        <w:rPr>
          <w:rFonts w:cs="Times New Roman" w:ascii="Times New Roman" w:hAnsi="Times New Roman"/>
          <w:b/>
        </w:rPr>
        <w:t>2 этап строительства:</w:t>
      </w:r>
    </w:p>
    <w:p>
      <w:pPr>
        <w:pStyle w:val="Textbody"/>
        <w:spacing w:before="0" w:after="0"/>
        <w:ind w:left="0" w:hanging="0"/>
        <w:jc w:val="center"/>
        <w:rPr>
          <w:rFonts w:ascii="Times New Roman" w:hAnsi="Times New Roman" w:cs="Times New Roman"/>
          <w:b/>
          <w:b/>
        </w:rPr>
      </w:pPr>
      <w:r>
        <w:rPr>
          <w:rFonts w:cs="Times New Roman" w:ascii="Times New Roman" w:hAnsi="Times New Roman"/>
          <w:b/>
        </w:rPr>
        <w:t>Жилой дом</w:t>
      </w:r>
    </w:p>
    <w:p>
      <w:pPr>
        <w:pStyle w:val="Textbody"/>
        <w:spacing w:before="0" w:after="0"/>
        <w:ind w:left="0" w:hanging="0"/>
        <w:jc w:val="center"/>
        <w:rPr>
          <w:rFonts w:ascii="Times New Roman" w:hAnsi="Times New Roman" w:cs="Times New Roman"/>
          <w:b/>
          <w:b/>
        </w:rPr>
      </w:pPr>
      <w:r>
        <w:rPr>
          <w:rFonts w:cs="Times New Roman" w:ascii="Times New Roman" w:hAnsi="Times New Roman"/>
          <w:b/>
        </w:rPr>
        <w:t>объемно-планировочные показатели</w:t>
      </w:r>
    </w:p>
    <w:p>
      <w:pPr>
        <w:pStyle w:val="Standard"/>
        <w:spacing w:lineRule="auto" w:line="240"/>
        <w:ind w:right="297" w:hanging="0"/>
        <w:jc w:val="center"/>
        <w:rPr>
          <w:rFonts w:ascii="Times New Roman" w:hAnsi="Times New Roman"/>
          <w:b/>
          <w:b/>
          <w:bCs/>
          <w:sz w:val="24"/>
          <w:szCs w:val="24"/>
        </w:rPr>
      </w:pPr>
      <w:r>
        <w:rPr>
          <w:rFonts w:ascii="Times New Roman" w:hAnsi="Times New Roman"/>
          <w:b/>
          <w:bCs/>
          <w:sz w:val="24"/>
          <w:szCs w:val="24"/>
        </w:rPr>
      </w:r>
      <w:r>
        <mc:AlternateContent>
          <mc:Choice Requires="wps">
            <w:drawing>
              <wp:anchor behindDoc="0" distT="0" distB="0" distL="114300" distR="114300" simplePos="0" locked="0" layoutInCell="1" allowOverlap="1" relativeHeight="6">
                <wp:simplePos x="0" y="0"/>
                <wp:positionH relativeFrom="page">
                  <wp:posOffset>491490</wp:posOffset>
                </wp:positionH>
                <wp:positionV relativeFrom="paragraph">
                  <wp:posOffset>351155</wp:posOffset>
                </wp:positionV>
                <wp:extent cx="6515735" cy="9282430"/>
                <wp:effectExtent l="0" t="0" r="0" b="0"/>
                <wp:wrapSquare wrapText="bothSides"/>
                <wp:docPr id="2" name="Врезка3"/>
                <a:graphic xmlns:a="http://schemas.openxmlformats.org/drawingml/2006/main">
                  <a:graphicData uri="http://schemas.microsoft.com/office/word/2010/wordprocessingShape">
                    <wps:wsp>
                      <wps:cNvSpPr txBox="1"/>
                      <wps:spPr>
                        <a:xfrm>
                          <a:off x="0" y="0"/>
                          <a:ext cx="6515735" cy="9282430"/>
                        </a:xfrm>
                        <a:prstGeom prst="rect"/>
                      </wps:spPr>
                      <wps:txbx>
                        <w:txbxContent>
                          <w:tbl>
                            <w:tblPr>
                              <w:tblpPr w:bottomFromText="0" w:horzAnchor="page" w:leftFromText="180" w:rightFromText="180" w:tblpX="784" w:tblpY="553" w:topFromText="0" w:vertAnchor="text"/>
                              <w:tblW w:w="10261" w:type="dxa"/>
                              <w:jc w:val="left"/>
                              <w:tblInd w:w="5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firstRow="1" w:noVBand="1" w:lastRow="0" w:firstColumn="1" w:lastColumn="0" w:noHBand="0" w:val="04a0"/>
                            </w:tblPr>
                            <w:tblGrid>
                              <w:gridCol w:w="3741"/>
                              <w:gridCol w:w="992"/>
                              <w:gridCol w:w="992"/>
                              <w:gridCol w:w="1134"/>
                              <w:gridCol w:w="1134"/>
                              <w:gridCol w:w="2267"/>
                            </w:tblGrid>
                            <w:tr>
                              <w:trPr>
                                <w:trHeight w:val="675" w:hRule="exact"/>
                              </w:trPr>
                              <w:tc>
                                <w:tcPr>
                                  <w:tcW w:w="3741" w:type="dxa"/>
                                  <w:vMerge w:val="restart"/>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Наименование</w:t>
                                  </w:r>
                                </w:p>
                                <w:p>
                                  <w:pPr>
                                    <w:pStyle w:val="Style45"/>
                                    <w:jc w:val="center"/>
                                    <w:rPr>
                                      <w:rFonts w:ascii="Times New Roman" w:hAnsi="Times New Roman" w:cs="Times New Roman"/>
                                    </w:rPr>
                                  </w:pPr>
                                  <w:r>
                                    <w:rPr>
                                      <w:rFonts w:cs="Times New Roman" w:ascii="Times New Roman" w:hAnsi="Times New Roman"/>
                                    </w:rPr>
                                  </w:r>
                                </w:p>
                              </w:tc>
                              <w:tc>
                                <w:tcPr>
                                  <w:tcW w:w="992" w:type="dxa"/>
                                  <w:vMerge w:val="restart"/>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Ед.</w:t>
                                  </w:r>
                                </w:p>
                                <w:p>
                                  <w:pPr>
                                    <w:pStyle w:val="Style45"/>
                                    <w:jc w:val="center"/>
                                    <w:rPr/>
                                  </w:pPr>
                                  <w:r>
                                    <w:rPr>
                                      <w:rFonts w:cs="Times New Roman" w:ascii="Times New Roman" w:hAnsi="Times New Roman"/>
                                    </w:rPr>
                                    <w:t>изм.</w:t>
                                  </w:r>
                                </w:p>
                              </w:tc>
                              <w:tc>
                                <w:tcPr>
                                  <w:tcW w:w="3260" w:type="dxa"/>
                                  <w:gridSpan w:val="3"/>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Кол. на секцию</w:t>
                                  </w:r>
                                </w:p>
                              </w:tc>
                              <w:tc>
                                <w:tcPr>
                                  <w:tcW w:w="22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Всего</w:t>
                                  </w:r>
                                </w:p>
                              </w:tc>
                            </w:tr>
                            <w:tr>
                              <w:trPr>
                                <w:trHeight w:val="630" w:hRule="exact"/>
                              </w:trPr>
                              <w:tc>
                                <w:tcPr>
                                  <w:tcW w:w="3741" w:type="dxa"/>
                                  <w:vMerge w:val="continue"/>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Normal"/>
                                    <w:rPr/>
                                  </w:pPr>
                                  <w:r>
                                    <w:rPr/>
                                  </w:r>
                                </w:p>
                              </w:tc>
                              <w:tc>
                                <w:tcPr>
                                  <w:tcW w:w="992" w:type="dxa"/>
                                  <w:vMerge w:val="continue"/>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Normal"/>
                                    <w:rPr/>
                                  </w:pPr>
                                  <w:r>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pPr>
                                  <w:r>
                                    <w:rPr>
                                      <w:rFonts w:cs="Times New Roman" w:ascii="Times New Roman" w:hAnsi="Times New Roman"/>
                                    </w:rPr>
                                    <w:t>6</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pPr>
                                  <w:r>
                                    <w:rPr>
                                      <w:rFonts w:cs="Times New Roman" w:ascii="Times New Roman" w:hAnsi="Times New Roman"/>
                                    </w:rPr>
                                    <w:t>7</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pPr>
                                  <w:r>
                                    <w:rPr>
                                      <w:rFonts w:cs="Times New Roman" w:ascii="Times New Roman" w:hAnsi="Times New Roman"/>
                                    </w:rPr>
                                    <w:t>8 угловая</w:t>
                                  </w:r>
                                </w:p>
                                <w:p>
                                  <w:pPr>
                                    <w:pStyle w:val="Style45"/>
                                    <w:spacing w:lineRule="exact" w:line="500"/>
                                    <w:jc w:val="center"/>
                                    <w:rPr/>
                                  </w:pPr>
                                  <w:r>
                                    <w:rPr>
                                      <w:rFonts w:cs="Times New Roman" w:ascii="Times New Roman" w:hAnsi="Times New Roman"/>
                                    </w:rPr>
                                    <w:t xml:space="preserve"> </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22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Normal"/>
                                    <w:rPr/>
                                  </w:pPr>
                                  <w:r>
                                    <w:rPr/>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Тип квартир:</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шт.</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16</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79</w:t>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шт.</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19</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52</w:t>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шт.</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9</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9</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33</w:t>
                                  </w:r>
                                </w:p>
                              </w:tc>
                            </w:tr>
                            <w:tr>
                              <w:trPr>
                                <w:trHeight w:val="50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Количество квартир</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шт.</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75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164</w:t>
                                  </w:r>
                                </w:p>
                              </w:tc>
                            </w:tr>
                            <w:tr>
                              <w:trPr>
                                <w:trHeight w:val="46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Жилая площадь квартир</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1402,65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1399,95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2282,25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5084,85</w:t>
                                  </w:r>
                                </w:p>
                              </w:tc>
                            </w:tr>
                            <w:tr>
                              <w:trPr>
                                <w:trHeight w:val="500"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Площадь квартир (без лоджий)</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2733,21</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2711,40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4550,88</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9995,49</w:t>
                                  </w:r>
                                </w:p>
                              </w:tc>
                            </w:tr>
                            <w:tr>
                              <w:trPr>
                                <w:trHeight w:val="465"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Общая площадь квартир</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2913,21</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2891,4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4742,43</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10547,04</w:t>
                                  </w:r>
                                </w:p>
                              </w:tc>
                            </w:tr>
                            <w:tr>
                              <w:trPr>
                                <w:trHeight w:val="683"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Полезная площадь нежилых помещений (офисы)</w:t>
                                  </w:r>
                                </w:p>
                                <w:p>
                                  <w:pPr>
                                    <w:pStyle w:val="Style45"/>
                                    <w:rPr>
                                      <w:rFonts w:ascii="Times New Roman" w:hAnsi="Times New Roman" w:cs="Times New Roman"/>
                                    </w:rPr>
                                  </w:pPr>
                                  <w:r>
                                    <w:rPr>
                                      <w:rFonts w:cs="Times New Roman" w:ascii="Times New Roman" w:hAnsi="Times New Roman"/>
                                    </w:rPr>
                                  </w:r>
                                </w:p>
                                <w:p>
                                  <w:pPr>
                                    <w:pStyle w:val="Style45"/>
                                    <w:rPr>
                                      <w:rFonts w:ascii="Times New Roman" w:hAnsi="Times New Roman" w:cs="Times New Roman"/>
                                    </w:rPr>
                                  </w:pPr>
                                  <w:r>
                                    <w:rPr>
                                      <w:rFonts w:cs="Times New Roman" w:ascii="Times New Roman" w:hAnsi="Times New Roman"/>
                                    </w:rPr>
                                  </w:r>
                                </w:p>
                                <w:p>
                                  <w:pPr>
                                    <w:pStyle w:val="Style45"/>
                                    <w:rPr>
                                      <w:rFonts w:ascii="Times New Roman" w:hAnsi="Times New Roman" w:cs="Times New Roman"/>
                                    </w:rPr>
                                  </w:pPr>
                                  <w:r>
                                    <w:rPr>
                                      <w:rFonts w:cs="Times New Roman" w:ascii="Times New Roman" w:hAnsi="Times New Roman"/>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306,31</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306,31</w:t>
                                  </w:r>
                                </w:p>
                              </w:tc>
                            </w:tr>
                            <w:tr>
                              <w:trPr>
                                <w:trHeight w:val="495"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Общая площадь здания, в т.ч.</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3784,54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3784,54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7031,35</w:t>
                                  </w:r>
                                </w:p>
                                <w:p>
                                  <w:pPr>
                                    <w:pStyle w:val="Style45"/>
                                    <w:jc w:val="center"/>
                                    <w:rPr>
                                      <w:rFonts w:ascii="Times New Roman" w:hAnsi="Times New Roman" w:cs="Times New Roman"/>
                                    </w:rPr>
                                  </w:pPr>
                                  <w:r>
                                    <w:rPr>
                                      <w:rFonts w:cs="Times New Roman" w:ascii="Times New Roman" w:hAnsi="Times New Roman"/>
                                    </w:rPr>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14600,43</w:t>
                                  </w:r>
                                </w:p>
                              </w:tc>
                            </w:tr>
                            <w:tr>
                              <w:trPr>
                                <w:trHeight w:val="59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 жилой части здания</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3784,54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3784,54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6705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14274,08</w:t>
                                  </w:r>
                                </w:p>
                              </w:tc>
                            </w:tr>
                            <w:tr>
                              <w:trPr>
                                <w:trHeight w:val="59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 нежилой части здания</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306,31</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306,31</w:t>
                                  </w:r>
                                </w:p>
                              </w:tc>
                            </w:tr>
                            <w:tr>
                              <w:trPr>
                                <w:trHeight w:val="460"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Площадь застройки</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486,2</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485,87</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496,76</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color w:val="000000"/>
                                    </w:rPr>
                                    <w:t>1468,83</w:t>
                                  </w:r>
                                </w:p>
                              </w:tc>
                            </w:tr>
                            <w:tr>
                              <w:trPr>
                                <w:trHeight w:val="911" w:hRule="atLeas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Строительный объем здания, в т.ч.:</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r>
                                    <w:rPr>
                                      <w:rFonts w:cs="Times New Roman" w:ascii="Times New Roman" w:hAnsi="Times New Roman"/>
                                      <w:vertAlign w:val="superscript"/>
                                    </w:rPr>
                                    <w:t>3</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14226,64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14225,65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13214,2</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41666,49</w:t>
                                  </w:r>
                                </w:p>
                              </w:tc>
                            </w:tr>
                            <w:tr>
                              <w:trPr>
                                <w:trHeight w:val="450"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textAlignment w:val="baseline"/>
                                    <w:rPr/>
                                  </w:pPr>
                                  <w:r>
                                    <w:rPr>
                                      <w:rFonts w:cs="Times New Roman" w:ascii="Times New Roman" w:hAnsi="Times New Roman"/>
                                    </w:rPr>
                                    <w:t>подземной  части</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3</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1555,84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1554,78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1589,63</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color w:val="000000"/>
                                    </w:rPr>
                                    <w:t>4700,25</w:t>
                                  </w:r>
                                </w:p>
                              </w:tc>
                            </w:tr>
                            <w:tr>
                              <w:trPr>
                                <w:trHeight w:val="454" w:hRule="atLeas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Этажность здания (включая чердак)</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этаж</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17</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w:t>
                                  </w:r>
                                </w:p>
                              </w:tc>
                            </w:tr>
                            <w:tr>
                              <w:trPr>
                                <w:trHeight w:val="454" w:hRule="atLeas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Высота здания (от ур. проезда пожарной техники до низа окна верхнего жилого этажа)</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p>
                                <w:p>
                                  <w:pPr>
                                    <w:pStyle w:val="Style45"/>
                                    <w:jc w:val="center"/>
                                    <w:rPr>
                                      <w:rFonts w:ascii="Times New Roman" w:hAnsi="Times New Roman" w:cs="Times New Roman"/>
                                    </w:rPr>
                                  </w:pPr>
                                  <w:r>
                                    <w:rPr>
                                      <w:rFonts w:cs="Times New Roman" w:ascii="Times New Roman" w:hAnsi="Times New Roman"/>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25,945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26,035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47,105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r>
                            <w:tr>
                              <w:trPr>
                                <w:trHeight w:val="756" w:hRule="atLeas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Максимальная высотная отметка здания/ Уровень парапета</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32,175/</w:t>
                                  </w:r>
                                </w:p>
                                <w:p>
                                  <w:pPr>
                                    <w:pStyle w:val="Style45"/>
                                    <w:jc w:val="center"/>
                                    <w:rPr/>
                                  </w:pPr>
                                  <w:r>
                                    <w:rPr>
                                      <w:rFonts w:cs="Times New Roman" w:ascii="Times New Roman" w:hAnsi="Times New Roman"/>
                                      <w:color w:val="000000"/>
                                    </w:rPr>
                                    <w:t>30,070</w:t>
                                  </w:r>
                                </w:p>
                                <w:p>
                                  <w:pPr>
                                    <w:pStyle w:val="Style45"/>
                                    <w:jc w:val="center"/>
                                    <w:rPr>
                                      <w:rFonts w:ascii="Times New Roman" w:hAnsi="Times New Roman" w:cs="Times New Roman"/>
                                      <w:color w:val="CC0000"/>
                                    </w:rPr>
                                  </w:pPr>
                                  <w:r>
                                    <w:rPr>
                                      <w:rFonts w:cs="Times New Roman" w:ascii="Times New Roman" w:hAnsi="Times New Roman"/>
                                      <w:color w:val="CC0000"/>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32,175/</w:t>
                                  </w:r>
                                </w:p>
                                <w:p>
                                  <w:pPr>
                                    <w:pStyle w:val="Style45"/>
                                    <w:jc w:val="center"/>
                                    <w:rPr/>
                                  </w:pPr>
                                  <w:r>
                                    <w:rPr>
                                      <w:rFonts w:cs="Times New Roman" w:ascii="Times New Roman" w:hAnsi="Times New Roman"/>
                                      <w:color w:val="000000"/>
                                    </w:rPr>
                                    <w:t>30,070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53,5/</w:t>
                                  </w:r>
                                </w:p>
                                <w:p>
                                  <w:pPr>
                                    <w:pStyle w:val="Style45"/>
                                    <w:jc w:val="center"/>
                                    <w:rPr/>
                                  </w:pPr>
                                  <w:r>
                                    <w:rPr>
                                      <w:rFonts w:cs="Times New Roman" w:ascii="Times New Roman" w:hAnsi="Times New Roman"/>
                                      <w:color w:val="000000"/>
                                    </w:rPr>
                                    <w:t>51,1</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w:t>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Высота жилого этажа</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3,0</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w:t>
                                  </w:r>
                                </w:p>
                              </w:tc>
                            </w:tr>
                            <w:tr>
                              <w:trPr>
                                <w:trHeight w:val="761"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Высота подвала</w:t>
                                  </w:r>
                                </w:p>
                                <w:p>
                                  <w:pPr>
                                    <w:pStyle w:val="Style45"/>
                                    <w:rPr/>
                                  </w:pPr>
                                  <w:r>
                                    <w:rPr>
                                      <w:rFonts w:cs="Times New Roman" w:ascii="Times New Roman" w:hAnsi="Times New Roman"/>
                                    </w:rPr>
                                    <w:t>(в свету)</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2,2</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2,2</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2,2</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r>
                            <w:tr>
                              <w:trPr>
                                <w:trHeight w:val="786"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Высота чердака</w:t>
                                  </w:r>
                                </w:p>
                                <w:p>
                                  <w:pPr>
                                    <w:pStyle w:val="Style45"/>
                                    <w:rPr/>
                                  </w:pPr>
                                  <w:r>
                                    <w:rPr>
                                      <w:rFonts w:cs="Times New Roman" w:ascii="Times New Roman" w:hAnsi="Times New Roman"/>
                                    </w:rPr>
                                    <w:t>(в свету)</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1,8</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r>
                            <w:tr>
                              <w:trPr>
                                <w:trHeight w:val="786"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Расчетное количество</w:t>
                                  </w:r>
                                </w:p>
                                <w:p>
                                  <w:pPr>
                                    <w:pStyle w:val="Style45"/>
                                    <w:rPr/>
                                  </w:pPr>
                                  <w:r>
                                    <w:rPr>
                                      <w:rFonts w:cs="Times New Roman" w:ascii="Times New Roman" w:hAnsi="Times New Roman"/>
                                    </w:rPr>
                                    <w:t>проживающих</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чел.</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112</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111</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182</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405</w:t>
                                  </w:r>
                                </w:p>
                              </w:tc>
                            </w:tr>
                          </w:tbl>
                        </w:txbxContent>
                      </wps:txbx>
                      <wps:bodyPr anchor="t" lIns="0" tIns="0" rIns="0" bIns="0">
                        <a:spAutoFit/>
                      </wps:bodyPr>
                    </wps:wsp>
                  </a:graphicData>
                </a:graphic>
              </wp:anchor>
            </w:drawing>
          </mc:Choice>
          <mc:Fallback>
            <w:pict>
              <v:rect style="position:absolute;rotation:0;width:513.05pt;height:730.9pt;mso-wrap-distance-left:9pt;mso-wrap-distance-right:9pt;mso-wrap-distance-top:0pt;mso-wrap-distance-bottom:0pt;margin-top:27.65pt;mso-position-vertical-relative:text;margin-left:38.7pt;mso-position-horizontal-relative:page">
                <v:textbox inset="0in,0in,0in,0in">
                  <w:txbxContent>
                    <w:tbl>
                      <w:tblPr>
                        <w:tblpPr w:bottomFromText="0" w:horzAnchor="page" w:leftFromText="180" w:rightFromText="180" w:tblpX="784" w:tblpY="553" w:topFromText="0" w:vertAnchor="text"/>
                        <w:tblW w:w="10261" w:type="dxa"/>
                        <w:jc w:val="left"/>
                        <w:tblInd w:w="5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firstRow="1" w:noVBand="1" w:lastRow="0" w:firstColumn="1" w:lastColumn="0" w:noHBand="0" w:val="04a0"/>
                      </w:tblPr>
                      <w:tblGrid>
                        <w:gridCol w:w="3741"/>
                        <w:gridCol w:w="992"/>
                        <w:gridCol w:w="992"/>
                        <w:gridCol w:w="1134"/>
                        <w:gridCol w:w="1134"/>
                        <w:gridCol w:w="2267"/>
                      </w:tblGrid>
                      <w:tr>
                        <w:trPr>
                          <w:trHeight w:val="675" w:hRule="exact"/>
                        </w:trPr>
                        <w:tc>
                          <w:tcPr>
                            <w:tcW w:w="3741" w:type="dxa"/>
                            <w:vMerge w:val="restart"/>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Наименование</w:t>
                            </w:r>
                          </w:p>
                          <w:p>
                            <w:pPr>
                              <w:pStyle w:val="Style45"/>
                              <w:jc w:val="center"/>
                              <w:rPr>
                                <w:rFonts w:ascii="Times New Roman" w:hAnsi="Times New Roman" w:cs="Times New Roman"/>
                              </w:rPr>
                            </w:pPr>
                            <w:r>
                              <w:rPr>
                                <w:rFonts w:cs="Times New Roman" w:ascii="Times New Roman" w:hAnsi="Times New Roman"/>
                              </w:rPr>
                            </w:r>
                          </w:p>
                        </w:tc>
                        <w:tc>
                          <w:tcPr>
                            <w:tcW w:w="992" w:type="dxa"/>
                            <w:vMerge w:val="restart"/>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Ед.</w:t>
                            </w:r>
                          </w:p>
                          <w:p>
                            <w:pPr>
                              <w:pStyle w:val="Style45"/>
                              <w:jc w:val="center"/>
                              <w:rPr/>
                            </w:pPr>
                            <w:r>
                              <w:rPr>
                                <w:rFonts w:cs="Times New Roman" w:ascii="Times New Roman" w:hAnsi="Times New Roman"/>
                              </w:rPr>
                              <w:t>изм.</w:t>
                            </w:r>
                          </w:p>
                        </w:tc>
                        <w:tc>
                          <w:tcPr>
                            <w:tcW w:w="3260" w:type="dxa"/>
                            <w:gridSpan w:val="3"/>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Кол. на секцию</w:t>
                            </w:r>
                          </w:p>
                        </w:tc>
                        <w:tc>
                          <w:tcPr>
                            <w:tcW w:w="2267" w:type="dxa"/>
                            <w:vMerge w:val="restart"/>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Всего</w:t>
                            </w:r>
                          </w:p>
                        </w:tc>
                      </w:tr>
                      <w:tr>
                        <w:trPr>
                          <w:trHeight w:val="630" w:hRule="exact"/>
                        </w:trPr>
                        <w:tc>
                          <w:tcPr>
                            <w:tcW w:w="3741" w:type="dxa"/>
                            <w:vMerge w:val="continue"/>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Normal"/>
                              <w:rPr/>
                            </w:pPr>
                            <w:r>
                              <w:rPr/>
                            </w:r>
                          </w:p>
                        </w:tc>
                        <w:tc>
                          <w:tcPr>
                            <w:tcW w:w="992" w:type="dxa"/>
                            <w:vMerge w:val="continue"/>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Normal"/>
                              <w:rPr/>
                            </w:pPr>
                            <w:r>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pPr>
                            <w:r>
                              <w:rPr>
                                <w:rFonts w:cs="Times New Roman" w:ascii="Times New Roman" w:hAnsi="Times New Roman"/>
                              </w:rPr>
                              <w:t>6</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pPr>
                            <w:r>
                              <w:rPr>
                                <w:rFonts w:cs="Times New Roman" w:ascii="Times New Roman" w:hAnsi="Times New Roman"/>
                              </w:rPr>
                              <w:t>7</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pPr>
                            <w:r>
                              <w:rPr>
                                <w:rFonts w:cs="Times New Roman" w:ascii="Times New Roman" w:hAnsi="Times New Roman"/>
                              </w:rPr>
                              <w:t>8 угловая</w:t>
                            </w:r>
                          </w:p>
                          <w:p>
                            <w:pPr>
                              <w:pStyle w:val="Style45"/>
                              <w:spacing w:lineRule="exact" w:line="500"/>
                              <w:jc w:val="center"/>
                              <w:rPr/>
                            </w:pPr>
                            <w:r>
                              <w:rPr>
                                <w:rFonts w:cs="Times New Roman" w:ascii="Times New Roman" w:hAnsi="Times New Roman"/>
                              </w:rPr>
                              <w:t xml:space="preserve"> </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2267" w:type="dxa"/>
                            <w:vMerge w:val="continue"/>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Normal"/>
                              <w:rPr/>
                            </w:pPr>
                            <w:r>
                              <w:rPr/>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Тип квартир:</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шт.</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16</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79</w:t>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шт.</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19</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52</w:t>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шт.</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9</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9</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33</w:t>
                            </w:r>
                          </w:p>
                        </w:tc>
                      </w:tr>
                      <w:tr>
                        <w:trPr>
                          <w:trHeight w:val="50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Количество квартир</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шт.</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75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164</w:t>
                            </w:r>
                          </w:p>
                        </w:tc>
                      </w:tr>
                      <w:tr>
                        <w:trPr>
                          <w:trHeight w:val="46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Жилая площадь квартир</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1402,65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1399,95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2282,25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5084,85</w:t>
                            </w:r>
                          </w:p>
                        </w:tc>
                      </w:tr>
                      <w:tr>
                        <w:trPr>
                          <w:trHeight w:val="500"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Площадь квартир (без лоджий)</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2733,21</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2711,40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4550,88</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9995,49</w:t>
                            </w:r>
                          </w:p>
                        </w:tc>
                      </w:tr>
                      <w:tr>
                        <w:trPr>
                          <w:trHeight w:val="465"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Общая площадь квартир</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2913,21</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2891,4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4742,43</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10547,04</w:t>
                            </w:r>
                          </w:p>
                        </w:tc>
                      </w:tr>
                      <w:tr>
                        <w:trPr>
                          <w:trHeight w:val="683"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Полезная площадь нежилых помещений (офисы)</w:t>
                            </w:r>
                          </w:p>
                          <w:p>
                            <w:pPr>
                              <w:pStyle w:val="Style45"/>
                              <w:rPr>
                                <w:rFonts w:ascii="Times New Roman" w:hAnsi="Times New Roman" w:cs="Times New Roman"/>
                              </w:rPr>
                            </w:pPr>
                            <w:r>
                              <w:rPr>
                                <w:rFonts w:cs="Times New Roman" w:ascii="Times New Roman" w:hAnsi="Times New Roman"/>
                              </w:rPr>
                            </w:r>
                          </w:p>
                          <w:p>
                            <w:pPr>
                              <w:pStyle w:val="Style45"/>
                              <w:rPr>
                                <w:rFonts w:ascii="Times New Roman" w:hAnsi="Times New Roman" w:cs="Times New Roman"/>
                              </w:rPr>
                            </w:pPr>
                            <w:r>
                              <w:rPr>
                                <w:rFonts w:cs="Times New Roman" w:ascii="Times New Roman" w:hAnsi="Times New Roman"/>
                              </w:rPr>
                            </w:r>
                          </w:p>
                          <w:p>
                            <w:pPr>
                              <w:pStyle w:val="Style45"/>
                              <w:rPr>
                                <w:rFonts w:ascii="Times New Roman" w:hAnsi="Times New Roman" w:cs="Times New Roman"/>
                              </w:rPr>
                            </w:pPr>
                            <w:r>
                              <w:rPr>
                                <w:rFonts w:cs="Times New Roman" w:ascii="Times New Roman" w:hAnsi="Times New Roman"/>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306,31</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306,31</w:t>
                            </w:r>
                          </w:p>
                        </w:tc>
                      </w:tr>
                      <w:tr>
                        <w:trPr>
                          <w:trHeight w:val="495"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Общая площадь здания, в т.ч.</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3784,54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3784,54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7031,35</w:t>
                            </w:r>
                          </w:p>
                          <w:p>
                            <w:pPr>
                              <w:pStyle w:val="Style45"/>
                              <w:jc w:val="center"/>
                              <w:rPr>
                                <w:rFonts w:ascii="Times New Roman" w:hAnsi="Times New Roman" w:cs="Times New Roman"/>
                              </w:rPr>
                            </w:pPr>
                            <w:r>
                              <w:rPr>
                                <w:rFonts w:cs="Times New Roman" w:ascii="Times New Roman" w:hAnsi="Times New Roman"/>
                              </w:rPr>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14600,43</w:t>
                            </w:r>
                          </w:p>
                        </w:tc>
                      </w:tr>
                      <w:tr>
                        <w:trPr>
                          <w:trHeight w:val="59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 жилой части здания</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3784,54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3784,54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6705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14274,08</w:t>
                            </w:r>
                          </w:p>
                        </w:tc>
                      </w:tr>
                      <w:tr>
                        <w:trPr>
                          <w:trHeight w:val="59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 нежилой части здания</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306,31</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306,31</w:t>
                            </w:r>
                          </w:p>
                        </w:tc>
                      </w:tr>
                      <w:tr>
                        <w:trPr>
                          <w:trHeight w:val="460"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Площадь застройки</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2</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486,2</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485,87</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496,76</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color w:val="000000"/>
                              </w:rPr>
                              <w:t>1468,83</w:t>
                            </w:r>
                          </w:p>
                        </w:tc>
                      </w:tr>
                      <w:tr>
                        <w:trPr>
                          <w:trHeight w:val="911" w:hRule="atLeas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Строительный объем здания, в т.ч.:</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r>
                              <w:rPr>
                                <w:rFonts w:cs="Times New Roman" w:ascii="Times New Roman" w:hAnsi="Times New Roman"/>
                                <w:vertAlign w:val="superscript"/>
                              </w:rPr>
                              <w:t>3</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14226,64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14225,65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13214,2</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41666,49</w:t>
                            </w:r>
                          </w:p>
                        </w:tc>
                      </w:tr>
                      <w:tr>
                        <w:trPr>
                          <w:trHeight w:val="450"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textAlignment w:val="baseline"/>
                              <w:rPr/>
                            </w:pPr>
                            <w:r>
                              <w:rPr>
                                <w:rFonts w:cs="Times New Roman" w:ascii="Times New Roman" w:hAnsi="Times New Roman"/>
                              </w:rPr>
                              <w:t>подземной  части</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r>
                              <w:rPr>
                                <w:rFonts w:cs="Times New Roman" w:ascii="Times New Roman" w:hAnsi="Times New Roman"/>
                                <w:vertAlign w:val="superscript"/>
                              </w:rPr>
                              <w:t>3</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1555,84</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1554,78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1589,63</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color w:val="000000"/>
                              </w:rPr>
                              <w:t>4700,25</w:t>
                            </w:r>
                          </w:p>
                        </w:tc>
                      </w:tr>
                      <w:tr>
                        <w:trPr>
                          <w:trHeight w:val="454" w:hRule="atLeas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Этажность здания (включая чердак)</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этаж</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17</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w:t>
                            </w:r>
                          </w:p>
                        </w:tc>
                      </w:tr>
                      <w:tr>
                        <w:trPr>
                          <w:trHeight w:val="454" w:hRule="atLeas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Высота здания (от ур. проезда пожарной техники до низа окна верхнего жилого этажа)</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p>
                          <w:p>
                            <w:pPr>
                              <w:pStyle w:val="Style45"/>
                              <w:jc w:val="center"/>
                              <w:rPr>
                                <w:rFonts w:ascii="Times New Roman" w:hAnsi="Times New Roman" w:cs="Times New Roman"/>
                              </w:rPr>
                            </w:pPr>
                            <w:r>
                              <w:rPr>
                                <w:rFonts w:cs="Times New Roman" w:ascii="Times New Roman" w:hAnsi="Times New Roman"/>
                              </w:rPr>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25,945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26,035</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47,105</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r>
                      <w:tr>
                        <w:trPr>
                          <w:trHeight w:val="756" w:hRule="atLeas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Максимальная высотная отметка здания/ Уровень парапета</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32,175/</w:t>
                            </w:r>
                          </w:p>
                          <w:p>
                            <w:pPr>
                              <w:pStyle w:val="Style45"/>
                              <w:jc w:val="center"/>
                              <w:rPr/>
                            </w:pPr>
                            <w:r>
                              <w:rPr>
                                <w:rFonts w:cs="Times New Roman" w:ascii="Times New Roman" w:hAnsi="Times New Roman"/>
                                <w:color w:val="000000"/>
                              </w:rPr>
                              <w:t>30,070</w:t>
                            </w:r>
                          </w:p>
                          <w:p>
                            <w:pPr>
                              <w:pStyle w:val="Style45"/>
                              <w:jc w:val="center"/>
                              <w:rPr>
                                <w:rFonts w:ascii="Times New Roman" w:hAnsi="Times New Roman" w:cs="Times New Roman"/>
                                <w:color w:val="CC0000"/>
                              </w:rPr>
                            </w:pPr>
                            <w:r>
                              <w:rPr>
                                <w:rFonts w:cs="Times New Roman" w:ascii="Times New Roman" w:hAnsi="Times New Roman"/>
                                <w:color w:val="CC0000"/>
                              </w:rPr>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32,175/</w:t>
                            </w:r>
                          </w:p>
                          <w:p>
                            <w:pPr>
                              <w:pStyle w:val="Style45"/>
                              <w:jc w:val="center"/>
                              <w:rPr/>
                            </w:pPr>
                            <w:r>
                              <w:rPr>
                                <w:rFonts w:cs="Times New Roman" w:ascii="Times New Roman" w:hAnsi="Times New Roman"/>
                                <w:color w:val="000000"/>
                              </w:rPr>
                              <w:t>30,070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color w:val="000000"/>
                              </w:rPr>
                              <w:t>53,5/</w:t>
                            </w:r>
                          </w:p>
                          <w:p>
                            <w:pPr>
                              <w:pStyle w:val="Style45"/>
                              <w:jc w:val="center"/>
                              <w:rPr/>
                            </w:pPr>
                            <w:r>
                              <w:rPr>
                                <w:rFonts w:cs="Times New Roman" w:ascii="Times New Roman" w:hAnsi="Times New Roman"/>
                                <w:color w:val="000000"/>
                              </w:rPr>
                              <w:t>51,1</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w:t>
                            </w:r>
                          </w:p>
                        </w:tc>
                      </w:tr>
                      <w:tr>
                        <w:trPr>
                          <w:trHeight w:val="454"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Высота жилого этажа</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м</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3,0</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pPr>
                            <w:r>
                              <w:rPr>
                                <w:rFonts w:cs="Times New Roman" w:ascii="Times New Roman" w:hAnsi="Times New Roman"/>
                              </w:rPr>
                              <w:t>3,0</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pPr>
                            <w:r>
                              <w:rPr>
                                <w:rFonts w:cs="Times New Roman" w:ascii="Times New Roman" w:hAnsi="Times New Roman"/>
                              </w:rPr>
                              <w:t>-</w:t>
                            </w:r>
                          </w:p>
                        </w:tc>
                      </w:tr>
                      <w:tr>
                        <w:trPr>
                          <w:trHeight w:val="761"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Высота подвала</w:t>
                            </w:r>
                          </w:p>
                          <w:p>
                            <w:pPr>
                              <w:pStyle w:val="Style45"/>
                              <w:rPr/>
                            </w:pPr>
                            <w:r>
                              <w:rPr>
                                <w:rFonts w:cs="Times New Roman" w:ascii="Times New Roman" w:hAnsi="Times New Roman"/>
                              </w:rPr>
                              <w:t>(в свету)</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2,2</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2,2</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pPr>
                            <w:r>
                              <w:rPr>
                                <w:rFonts w:cs="Times New Roman" w:ascii="Times New Roman" w:hAnsi="Times New Roman"/>
                                <w:color w:val="000000"/>
                              </w:rPr>
                              <w:t>2,2</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r>
                      <w:tr>
                        <w:trPr>
                          <w:trHeight w:val="786"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Высота чердака</w:t>
                            </w:r>
                          </w:p>
                          <w:p>
                            <w:pPr>
                              <w:pStyle w:val="Style45"/>
                              <w:rPr/>
                            </w:pPr>
                            <w:r>
                              <w:rPr>
                                <w:rFonts w:cs="Times New Roman" w:ascii="Times New Roman" w:hAnsi="Times New Roman"/>
                              </w:rPr>
                              <w:t>(в свету)</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м</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1,8</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1,8</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w:t>
                            </w:r>
                          </w:p>
                        </w:tc>
                      </w:tr>
                      <w:tr>
                        <w:trPr>
                          <w:trHeight w:val="786" w:hRule="exact"/>
                        </w:trPr>
                        <w:tc>
                          <w:tcPr>
                            <w:tcW w:w="3741" w:type="dxa"/>
                            <w:tcBorders>
                              <w:left w:val="single" w:sz="2" w:space="0" w:color="000001"/>
                              <w:bottom w:val="single" w:sz="2" w:space="0" w:color="000001"/>
                              <w:insideH w:val="single" w:sz="2" w:space="0" w:color="000001"/>
                            </w:tcBorders>
                            <w:shd w:fill="auto" w:val="clear"/>
                            <w:tcMar>
                              <w:left w:w="52" w:type="dxa"/>
                            </w:tcMar>
                          </w:tcPr>
                          <w:p>
                            <w:pPr>
                              <w:pStyle w:val="Style45"/>
                              <w:rPr/>
                            </w:pPr>
                            <w:r>
                              <w:rPr>
                                <w:rFonts w:cs="Times New Roman" w:ascii="Times New Roman" w:hAnsi="Times New Roman"/>
                              </w:rPr>
                              <w:t>Расчетное количество</w:t>
                            </w:r>
                          </w:p>
                          <w:p>
                            <w:pPr>
                              <w:pStyle w:val="Style45"/>
                              <w:rPr/>
                            </w:pPr>
                            <w:r>
                              <w:rPr>
                                <w:rFonts w:cs="Times New Roman" w:ascii="Times New Roman" w:hAnsi="Times New Roman"/>
                              </w:rPr>
                              <w:t>проживающих</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чел.</w:t>
                            </w:r>
                          </w:p>
                        </w:tc>
                        <w:tc>
                          <w:tcPr>
                            <w:tcW w:w="992"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112</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111</w:t>
                            </w:r>
                          </w:p>
                        </w:tc>
                        <w:tc>
                          <w:tcPr>
                            <w:tcW w:w="1134"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182</w:t>
                            </w:r>
                          </w:p>
                        </w:tc>
                        <w:tc>
                          <w:tcPr>
                            <w:tcW w:w="226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pPr>
                            <w:r>
                              <w:rPr>
                                <w:rFonts w:cs="Times New Roman" w:ascii="Times New Roman" w:hAnsi="Times New Roman"/>
                              </w:rPr>
                              <w:t>405</w:t>
                            </w:r>
                          </w:p>
                        </w:tc>
                      </w:tr>
                    </w:tbl>
                  </w:txbxContent>
                </v:textbox>
                <w10:wrap type="square"/>
              </v:rect>
            </w:pict>
          </mc:Fallback>
        </mc:AlternateContent>
      </w:r>
    </w:p>
    <w:p>
      <w:pPr>
        <w:pStyle w:val="Standard"/>
        <w:spacing w:lineRule="auto" w:line="240"/>
        <w:ind w:right="297" w:hanging="0"/>
        <w:jc w:val="center"/>
        <w:rPr>
          <w:rFonts w:ascii="Times New Roman" w:hAnsi="Times New Roman"/>
          <w:b/>
          <w:b/>
          <w:bCs/>
          <w:sz w:val="24"/>
          <w:szCs w:val="24"/>
        </w:rPr>
      </w:pPr>
      <w:r>
        <w:rPr>
          <w:rFonts w:ascii="Times New Roman" w:hAnsi="Times New Roman"/>
          <w:b/>
          <w:bCs/>
          <w:sz w:val="24"/>
          <w:szCs w:val="24"/>
        </w:rPr>
        <w:t>Здание с нежилыми помещениями (офисами)</w:t>
      </w:r>
    </w:p>
    <w:p>
      <w:pPr>
        <w:pStyle w:val="Standard"/>
        <w:spacing w:lineRule="auto" w:line="240"/>
        <w:ind w:right="297" w:hanging="0"/>
        <w:jc w:val="center"/>
        <w:rPr>
          <w:rFonts w:ascii="Times New Roman" w:hAnsi="Times New Roman"/>
          <w:b/>
          <w:b/>
          <w:bCs/>
          <w:sz w:val="24"/>
          <w:szCs w:val="24"/>
        </w:rPr>
      </w:pPr>
      <w:r>
        <w:rPr>
          <w:rFonts w:ascii="Times New Roman" w:hAnsi="Times New Roman"/>
          <w:b/>
          <w:bCs/>
          <w:sz w:val="24"/>
          <w:szCs w:val="24"/>
        </w:rPr>
        <w:t>Объемно-планировочные показатели:</w:t>
      </w:r>
    </w:p>
    <w:tbl>
      <w:tblPr>
        <w:tblW w:w="8971" w:type="dxa"/>
        <w:jc w:val="left"/>
        <w:tblInd w:w="45" w:type="dxa"/>
        <w:tblBorders>
          <w:top w:val="single" w:sz="2" w:space="0" w:color="000001"/>
          <w:left w:val="single" w:sz="2" w:space="0" w:color="000001"/>
          <w:bottom w:val="single" w:sz="2" w:space="0" w:color="000001"/>
          <w:insideH w:val="single" w:sz="2" w:space="0" w:color="000001"/>
        </w:tblBorders>
        <w:tblCellMar>
          <w:top w:w="55" w:type="dxa"/>
          <w:left w:w="52" w:type="dxa"/>
          <w:bottom w:w="55" w:type="dxa"/>
          <w:right w:w="55" w:type="dxa"/>
        </w:tblCellMar>
        <w:tblLook w:firstRow="1" w:noVBand="1" w:lastRow="0" w:firstColumn="1" w:lastColumn="0" w:noHBand="0" w:val="04a0"/>
      </w:tblPr>
      <w:tblGrid>
        <w:gridCol w:w="5751"/>
        <w:gridCol w:w="1803"/>
        <w:gridCol w:w="1417"/>
      </w:tblGrid>
      <w:tr>
        <w:trPr>
          <w:trHeight w:val="733" w:hRule="exact"/>
        </w:trPr>
        <w:tc>
          <w:tcPr>
            <w:tcW w:w="5751" w:type="dxa"/>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Наименование</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1803" w:type="dxa"/>
            <w:tcBorders>
              <w:top w:val="single" w:sz="2" w:space="0" w:color="000001"/>
              <w:left w:val="single" w:sz="2" w:space="0" w:color="000001"/>
              <w:bottom w:val="single" w:sz="2" w:space="0" w:color="000001"/>
              <w:insideH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Ед. изм.</w:t>
            </w:r>
          </w:p>
          <w:p>
            <w:pPr>
              <w:pStyle w:val="Style45"/>
              <w:spacing w:lineRule="exact" w:line="500"/>
              <w:jc w:val="center"/>
              <w:rPr>
                <w:rFonts w:ascii="Times New Roman" w:hAnsi="Times New Roman" w:cs="Times New Roman"/>
              </w:rPr>
            </w:pPr>
            <w:r>
              <w:rPr>
                <w:rFonts w:cs="Times New Roman" w:ascii="Times New Roman" w:hAnsi="Times New Roman"/>
              </w:rPr>
            </w:r>
          </w:p>
        </w:tc>
        <w:tc>
          <w:tcPr>
            <w:tcW w:w="141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spacing w:lineRule="exact" w:line="500"/>
              <w:jc w:val="center"/>
              <w:rPr>
                <w:rFonts w:ascii="Times New Roman" w:hAnsi="Times New Roman" w:cs="Times New Roman"/>
              </w:rPr>
            </w:pPr>
            <w:r>
              <w:rPr>
                <w:rFonts w:cs="Times New Roman" w:ascii="Times New Roman" w:hAnsi="Times New Roman"/>
              </w:rPr>
              <w:t>Кол.</w:t>
            </w:r>
          </w:p>
        </w:tc>
      </w:tr>
      <w:tr>
        <w:trPr>
          <w:trHeight w:val="502" w:hRule="exact"/>
        </w:trPr>
        <w:tc>
          <w:tcPr>
            <w:tcW w:w="5751"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Полезная площадь</w:t>
            </w:r>
          </w:p>
          <w:p>
            <w:pPr>
              <w:pStyle w:val="Style45"/>
              <w:rPr>
                <w:rFonts w:ascii="Times New Roman" w:hAnsi="Times New Roman" w:cs="Times New Roman"/>
              </w:rPr>
            </w:pPr>
            <w:r>
              <w:rPr>
                <w:rFonts w:cs="Times New Roman" w:ascii="Times New Roman" w:hAnsi="Times New Roman"/>
              </w:rPr>
            </w:r>
          </w:p>
          <w:p>
            <w:pPr>
              <w:pStyle w:val="Style45"/>
              <w:rPr>
                <w:rFonts w:ascii="Times New Roman" w:hAnsi="Times New Roman" w:cs="Times New Roman"/>
              </w:rPr>
            </w:pPr>
            <w:r>
              <w:rPr>
                <w:rFonts w:cs="Times New Roman" w:ascii="Times New Roman" w:hAnsi="Times New Roman"/>
              </w:rPr>
            </w:r>
          </w:p>
          <w:p>
            <w:pPr>
              <w:pStyle w:val="Style45"/>
              <w:rPr>
                <w:rFonts w:ascii="Times New Roman" w:hAnsi="Times New Roman" w:cs="Times New Roman"/>
              </w:rPr>
            </w:pPr>
            <w:r>
              <w:rPr>
                <w:rFonts w:cs="Times New Roman" w:ascii="Times New Roman" w:hAnsi="Times New Roman"/>
              </w:rPr>
            </w:r>
          </w:p>
        </w:tc>
        <w:tc>
          <w:tcPr>
            <w:tcW w:w="180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2</w:t>
            </w:r>
          </w:p>
        </w:tc>
        <w:tc>
          <w:tcPr>
            <w:tcW w:w="1417" w:type="dxa"/>
            <w:tcBorders>
              <w:top w:val="single" w:sz="2" w:space="0" w:color="000001"/>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1536,5</w:t>
            </w:r>
          </w:p>
        </w:tc>
      </w:tr>
      <w:tr>
        <w:trPr>
          <w:trHeight w:val="495" w:hRule="exact"/>
        </w:trPr>
        <w:tc>
          <w:tcPr>
            <w:tcW w:w="5751"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Общая площадь здания</w:t>
            </w:r>
          </w:p>
        </w:tc>
        <w:tc>
          <w:tcPr>
            <w:tcW w:w="180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2</w:t>
            </w:r>
          </w:p>
        </w:tc>
        <w:tc>
          <w:tcPr>
            <w:tcW w:w="141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1702,7</w:t>
            </w:r>
          </w:p>
          <w:p>
            <w:pPr>
              <w:pStyle w:val="Style45"/>
              <w:jc w:val="center"/>
              <w:rPr>
                <w:rFonts w:ascii="Times New Roman" w:hAnsi="Times New Roman" w:cs="Times New Roman"/>
                <w:color w:val="000000"/>
              </w:rPr>
            </w:pPr>
            <w:r>
              <w:rPr>
                <w:rFonts w:cs="Times New Roman" w:ascii="Times New Roman" w:hAnsi="Times New Roman"/>
                <w:color w:val="000000"/>
              </w:rPr>
            </w:r>
          </w:p>
        </w:tc>
      </w:tr>
      <w:tr>
        <w:trPr>
          <w:trHeight w:val="460" w:hRule="exact"/>
        </w:trPr>
        <w:tc>
          <w:tcPr>
            <w:tcW w:w="5751"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Площадь застройки</w:t>
            </w:r>
          </w:p>
        </w:tc>
        <w:tc>
          <w:tcPr>
            <w:tcW w:w="180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2</w:t>
            </w:r>
          </w:p>
        </w:tc>
        <w:tc>
          <w:tcPr>
            <w:tcW w:w="141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664,8</w:t>
            </w:r>
          </w:p>
        </w:tc>
      </w:tr>
      <w:tr>
        <w:trPr>
          <w:trHeight w:val="527" w:hRule="atLeast"/>
        </w:trPr>
        <w:tc>
          <w:tcPr>
            <w:tcW w:w="5751"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Строительный объем здания, в т.ч.:</w:t>
            </w:r>
          </w:p>
        </w:tc>
        <w:tc>
          <w:tcPr>
            <w:tcW w:w="180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3</w:t>
            </w:r>
          </w:p>
        </w:tc>
        <w:tc>
          <w:tcPr>
            <w:tcW w:w="141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6651,7</w:t>
            </w:r>
          </w:p>
        </w:tc>
      </w:tr>
      <w:tr>
        <w:trPr>
          <w:trHeight w:val="450" w:hRule="exact"/>
        </w:trPr>
        <w:tc>
          <w:tcPr>
            <w:tcW w:w="5751" w:type="dxa"/>
            <w:tcBorders>
              <w:left w:val="single" w:sz="2" w:space="0" w:color="000001"/>
              <w:bottom w:val="single" w:sz="2" w:space="0" w:color="000001"/>
              <w:insideH w:val="single" w:sz="2" w:space="0" w:color="000001"/>
            </w:tcBorders>
            <w:shd w:fill="auto" w:val="clear"/>
            <w:tcMar>
              <w:left w:w="52" w:type="dxa"/>
            </w:tcMar>
          </w:tcPr>
          <w:p>
            <w:pPr>
              <w:pStyle w:val="Style45"/>
              <w:textAlignment w:val="baseline"/>
              <w:rPr>
                <w:rFonts w:ascii="Times New Roman" w:hAnsi="Times New Roman" w:cs="Times New Roman"/>
              </w:rPr>
            </w:pPr>
            <w:r>
              <w:rPr>
                <w:rFonts w:cs="Times New Roman" w:ascii="Times New Roman" w:hAnsi="Times New Roman"/>
              </w:rPr>
              <w:t>- подземной  части</w:t>
            </w:r>
          </w:p>
        </w:tc>
        <w:tc>
          <w:tcPr>
            <w:tcW w:w="180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r>
              <w:rPr>
                <w:rFonts w:cs="Times New Roman" w:ascii="Times New Roman" w:hAnsi="Times New Roman"/>
                <w:vertAlign w:val="superscript"/>
              </w:rPr>
              <w:t>3</w:t>
            </w:r>
          </w:p>
        </w:tc>
        <w:tc>
          <w:tcPr>
            <w:tcW w:w="141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955,4</w:t>
            </w:r>
          </w:p>
        </w:tc>
      </w:tr>
      <w:tr>
        <w:trPr>
          <w:trHeight w:val="454" w:hRule="atLeast"/>
        </w:trPr>
        <w:tc>
          <w:tcPr>
            <w:tcW w:w="5751"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Этажность здания</w:t>
            </w:r>
          </w:p>
        </w:tc>
        <w:tc>
          <w:tcPr>
            <w:tcW w:w="180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этаж</w:t>
            </w:r>
          </w:p>
        </w:tc>
        <w:tc>
          <w:tcPr>
            <w:tcW w:w="141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3</w:t>
            </w:r>
          </w:p>
        </w:tc>
      </w:tr>
      <w:tr>
        <w:trPr>
          <w:trHeight w:val="623" w:hRule="atLeast"/>
        </w:trPr>
        <w:tc>
          <w:tcPr>
            <w:tcW w:w="5751"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Максимальная высотная отметка здания/ Уровень парапета</w:t>
            </w:r>
          </w:p>
        </w:tc>
        <w:tc>
          <w:tcPr>
            <w:tcW w:w="180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м</w:t>
            </w:r>
          </w:p>
        </w:tc>
        <w:tc>
          <w:tcPr>
            <w:tcW w:w="141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13,4</w:t>
            </w:r>
          </w:p>
        </w:tc>
      </w:tr>
      <w:tr>
        <w:trPr>
          <w:trHeight w:val="410" w:hRule="atLeast"/>
        </w:trPr>
        <w:tc>
          <w:tcPr>
            <w:tcW w:w="5751"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Высота этажа</w:t>
            </w:r>
          </w:p>
        </w:tc>
        <w:tc>
          <w:tcPr>
            <w:tcW w:w="180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t>м</w:t>
            </w:r>
          </w:p>
        </w:tc>
        <w:tc>
          <w:tcPr>
            <w:tcW w:w="141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t>4,4; 3,3</w:t>
            </w:r>
          </w:p>
        </w:tc>
      </w:tr>
      <w:tr>
        <w:trPr>
          <w:trHeight w:val="761" w:hRule="exact"/>
        </w:trPr>
        <w:tc>
          <w:tcPr>
            <w:tcW w:w="5751" w:type="dxa"/>
            <w:tcBorders>
              <w:left w:val="single" w:sz="2" w:space="0" w:color="000001"/>
              <w:bottom w:val="single" w:sz="2" w:space="0" w:color="000001"/>
              <w:insideH w:val="single" w:sz="2" w:space="0" w:color="000001"/>
            </w:tcBorders>
            <w:shd w:fill="auto" w:val="clear"/>
            <w:tcMar>
              <w:left w:w="52" w:type="dxa"/>
            </w:tcMar>
          </w:tcPr>
          <w:p>
            <w:pPr>
              <w:pStyle w:val="Style45"/>
              <w:rPr>
                <w:rFonts w:ascii="Times New Roman" w:hAnsi="Times New Roman" w:cs="Times New Roman"/>
              </w:rPr>
            </w:pPr>
            <w:r>
              <w:rPr>
                <w:rFonts w:cs="Times New Roman" w:ascii="Times New Roman" w:hAnsi="Times New Roman"/>
              </w:rPr>
              <w:t>Высота подвала</w:t>
            </w:r>
          </w:p>
          <w:p>
            <w:pPr>
              <w:pStyle w:val="Style45"/>
              <w:rPr>
                <w:rFonts w:ascii="Times New Roman" w:hAnsi="Times New Roman" w:cs="Times New Roman"/>
              </w:rPr>
            </w:pPr>
            <w:r>
              <w:rPr>
                <w:rFonts w:cs="Times New Roman" w:ascii="Times New Roman" w:hAnsi="Times New Roman"/>
              </w:rPr>
              <w:t>(в свету)</w:t>
            </w:r>
          </w:p>
        </w:tc>
        <w:tc>
          <w:tcPr>
            <w:tcW w:w="1803" w:type="dxa"/>
            <w:tcBorders>
              <w:left w:val="single" w:sz="2" w:space="0" w:color="000001"/>
              <w:bottom w:val="single" w:sz="2" w:space="0" w:color="000001"/>
              <w:insideH w:val="single" w:sz="2" w:space="0" w:color="000001"/>
            </w:tcBorders>
            <w:shd w:fill="auto" w:val="clear"/>
            <w:tcMar>
              <w:left w:w="52" w:type="dxa"/>
            </w:tcMar>
          </w:tcPr>
          <w:p>
            <w:pPr>
              <w:pStyle w:val="Style45"/>
              <w:jc w:val="center"/>
              <w:rPr>
                <w:rFonts w:ascii="Times New Roman" w:hAnsi="Times New Roman" w:cs="Times New Roman"/>
              </w:rPr>
            </w:pPr>
            <w:r>
              <w:rPr>
                <w:rFonts w:cs="Times New Roman" w:ascii="Times New Roman" w:hAnsi="Times New Roman"/>
              </w:rPr>
            </w:r>
          </w:p>
          <w:p>
            <w:pPr>
              <w:pStyle w:val="Style45"/>
              <w:jc w:val="center"/>
              <w:rPr>
                <w:rFonts w:ascii="Times New Roman" w:hAnsi="Times New Roman" w:cs="Times New Roman"/>
              </w:rPr>
            </w:pPr>
            <w:r>
              <w:rPr>
                <w:rFonts w:cs="Times New Roman" w:ascii="Times New Roman" w:hAnsi="Times New Roman"/>
              </w:rPr>
              <w:t>м</w:t>
            </w:r>
          </w:p>
        </w:tc>
        <w:tc>
          <w:tcPr>
            <w:tcW w:w="1417" w:type="dxa"/>
            <w:tcBorders>
              <w:left w:val="single" w:sz="2" w:space="0" w:color="000001"/>
              <w:bottom w:val="single" w:sz="2" w:space="0" w:color="000001"/>
              <w:right w:val="single" w:sz="2" w:space="0" w:color="000001"/>
              <w:insideH w:val="single" w:sz="2" w:space="0" w:color="000001"/>
              <w:insideV w:val="single" w:sz="2" w:space="0" w:color="000001"/>
            </w:tcBorders>
            <w:shd w:fill="auto" w:val="clear"/>
            <w:tcMar>
              <w:left w:w="52" w:type="dxa"/>
            </w:tcMar>
          </w:tcPr>
          <w:p>
            <w:pPr>
              <w:pStyle w:val="Style45"/>
              <w:jc w:val="center"/>
              <w:rPr>
                <w:rFonts w:ascii="Times New Roman" w:hAnsi="Times New Roman" w:cs="Times New Roman"/>
                <w:color w:val="000000"/>
              </w:rPr>
            </w:pPr>
            <w:r>
              <w:rPr>
                <w:rFonts w:cs="Times New Roman" w:ascii="Times New Roman" w:hAnsi="Times New Roman"/>
                <w:color w:val="000000"/>
              </w:rPr>
            </w:r>
          </w:p>
          <w:p>
            <w:pPr>
              <w:pStyle w:val="Style45"/>
              <w:jc w:val="center"/>
              <w:rPr>
                <w:rFonts w:ascii="Times New Roman" w:hAnsi="Times New Roman" w:cs="Times New Roman"/>
                <w:color w:val="000000"/>
              </w:rPr>
            </w:pPr>
            <w:r>
              <w:rPr>
                <w:rFonts w:cs="Times New Roman" w:ascii="Times New Roman" w:hAnsi="Times New Roman"/>
                <w:color w:val="000000"/>
              </w:rPr>
              <w:t>2,11</w:t>
            </w:r>
          </w:p>
        </w:tc>
      </w:tr>
    </w:tbl>
    <w:p>
      <w:pPr>
        <w:pStyle w:val="Style49"/>
        <w:rPr/>
      </w:pPr>
      <w:r>
        <w:rPr/>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Здание - секционного типа, состоит из 3-х сблокированных секций панельных домов — 2-х  10-ти этажных (включая чердак) и 1-ой  17-ти этажной (включая чердак) и пристроенного к  17-ти этажной секции 3-х этажного здания с нежилыми помещениями (офисами):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6 секция — торцевая правая с размерами в плане в осях — 16,8 х 28,8м;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7 секция — торцевая левая с размерами в плане в осях — 16,8 х 28,8м;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8 секция - угловая правая с размерами в плане в осях — 26,4 х 19,5 х 12,3м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Относительный уровень чистого пола секций имеет единую абсолютную отметку, линии окон находятся на одной высоте.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Вертикальная геометрия здания — повышение высоты от 7-й секции к 8-ой, несущей основной композиционный акцент.</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Отделка фасада — фасадная штукатурная система «Мокрый фасад» по выравнивающему слою из минераловатных плит на базальтовом утеплителе.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Решение фасада в трех цветах (светло-коричневый, песочный и белый) задает постепенный цветовой переход по высоте здания.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Цоколь облицован крупноразмерной фасадной плиткой темно-коричневого цвета.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Вертикальные линии фасада выделены витражными конструкциями остекления лоджий.</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Над лоджиями верхних этажей устроены декоративные козырьки из металлочерепицы.</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Здание с нежилыми помещениями (офисами) — 3-х этажное, выполнено в  монолитном каркасе с размерами в плане в осях 40,7м х 17,1м.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Отделка фасада - фасадная штукатурная система «Мокрый фасад» по выравнивающему слою из минераловатных плит на базальтовом утеплителе.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Решение фасада в трех цветах (светло-коричневый, песочный и белый) задает постепенный цветовой переход по высоте здания.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Высота здания от поверхности проезда пожарной техники до нижней границы окна верхнего этажа составляет менее 50м.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Здание включает в себя:</w:t>
      </w:r>
    </w:p>
    <w:p>
      <w:pPr>
        <w:pStyle w:val="Textbody"/>
        <w:spacing w:before="0" w:after="0"/>
        <w:ind w:left="0" w:right="-1" w:firstLine="709"/>
        <w:jc w:val="both"/>
        <w:rPr>
          <w:rFonts w:ascii="Times New Roman" w:hAnsi="Times New Roman" w:cs="Times New Roman"/>
        </w:rPr>
      </w:pPr>
      <w:r>
        <w:rPr>
          <w:rFonts w:cs="Times New Roman" w:ascii="Times New Roman" w:hAnsi="Times New Roman"/>
          <w:u w:val="single"/>
        </w:rPr>
        <w:t>6 секция: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подвал;</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- 1, 2 и 3-х комнатные квартиры, расположенные со 1-го по 9-й этажи;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технический чердак.</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7 секция: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подвал;</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сквозной проход;</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- 1, 2 и 3-х комнатные квартиры, расположенные со 1-го по 9-й этажи;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технический чердак.</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8 секция: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подвал;</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офисные помещения, пожарный пост, вахта, КУИ расположенные на 1-м этаже;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- 1, 2 и 3-х комнатные квартиры, расположенные со 2-го по 16-й этажи;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технический чердак.</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Здание с нежилыми помещениями свободной планировки: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подвал;</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- 1 — 3-й этажи — помещения свободной планировки для размещения офисов.</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Расчетное количество работающих — 50 чел.</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r>
    </w:p>
    <w:p>
      <w:pPr>
        <w:pStyle w:val="Textbody"/>
        <w:spacing w:before="0" w:after="0"/>
        <w:ind w:left="0" w:right="-1" w:firstLine="709"/>
        <w:jc w:val="both"/>
        <w:rPr>
          <w:rFonts w:ascii="Times New Roman" w:hAnsi="Times New Roman" w:cs="Times New Roman"/>
          <w:b/>
          <w:b/>
          <w:bCs/>
        </w:rPr>
      </w:pPr>
      <w:r>
        <w:rPr>
          <w:rFonts w:cs="Times New Roman" w:ascii="Times New Roman" w:hAnsi="Times New Roman"/>
          <w:b/>
          <w:bCs/>
        </w:rPr>
        <w:t>Жилая часть здания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По заданию на проектирование доступ для маломобильных групп населения (МГН) для секций 6,7 предусмотрен только на 1-й этаж, для секции 8 — перемещение на этажи лифтом грузоподъемностью 630кг, оборудованным для перевозки МГН и пожарных подразделений.</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офисные помещения, расположенные на 1-м этаже секции 8 доступ МГН осуществляется с помощью подъемников.</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жилом здании предусмотрена доступность для маломобильных групп населения (МГН) — наружный пандус доступа на 1 этаж,  двери входа &gt;1,2м.</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Жилой дом обеспечен мусоропроводом с огнезащитным шибером, системами очистки и автоматическим пожаротушением.</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Мусоросборная камера имеет самостоятельный вход, изолированный от входа в здание и перекрытый козырьком.</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В каждой квартире, расположенной на высоте более 15м, предусмотрены аварийные выходы на лоджию с глухим простенком размером 1,2м от торца лоджии до оконного проема.</w:t>
      </w:r>
    </w:p>
    <w:p>
      <w:pPr>
        <w:pStyle w:val="Textbody"/>
        <w:spacing w:before="0" w:after="0"/>
        <w:ind w:left="0" w:right="-1" w:firstLine="709"/>
        <w:jc w:val="both"/>
        <w:rPr>
          <w:rFonts w:ascii="Times New Roman" w:hAnsi="Times New Roman" w:cs="Times New Roman"/>
        </w:rPr>
      </w:pPr>
      <w:r>
        <w:rPr>
          <w:rFonts w:cs="Times New Roman" w:ascii="Times New Roman" w:hAnsi="Times New Roman"/>
          <w:u w:val="single"/>
        </w:rPr>
        <w:t>Сквозной проход</w:t>
      </w:r>
      <w:r>
        <w:rPr>
          <w:rFonts w:cs="Times New Roman" w:ascii="Times New Roman" w:hAnsi="Times New Roman"/>
        </w:rPr>
        <w:t xml:space="preserve"> выполнен на первом этаже 7-й секции на расстоянии менее 100м по внешнему обводу здания со стороны пожарных гидрантов.</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Подвал предназначен для прокладки инженерных коммуникаций и технических помещений (электрощитовые, ИТП, водомерный узел).</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Подвал — теплый, обогреваемый за счет остаточного тепла нижней разводки труб систем отопления и горячего водоснабжения.</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Подвал не имеет прямого сообщения с жилой частью здания. Выходы  расположены рассредоточено и ведут непосредственно наружу.</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подвале выполнены продухи площадью 0,05м2 и компенсирующие  решетки Евровент  в дверях выхода из подвала общей площадью не менее 1/400 площади пола подвала.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подвале выполнены приямки дымоудаления с окнами размером 0,9х1,2м.</w:t>
      </w:r>
    </w:p>
    <w:p>
      <w:pPr>
        <w:pStyle w:val="Textbody"/>
        <w:spacing w:before="0" w:after="0"/>
        <w:ind w:left="0" w:right="-1" w:firstLine="709"/>
        <w:jc w:val="both"/>
        <w:rPr>
          <w:rFonts w:ascii="Times New Roman" w:hAnsi="Times New Roman" w:cs="Times New Roman"/>
        </w:rPr>
      </w:pPr>
      <w:r>
        <w:rPr>
          <w:rFonts w:cs="Times New Roman" w:ascii="Times New Roman" w:hAnsi="Times New Roman"/>
          <w:u w:val="single"/>
        </w:rPr>
        <w:t>Чердак</w:t>
      </w:r>
      <w:r>
        <w:rPr>
          <w:rFonts w:cs="Times New Roman" w:ascii="Times New Roman" w:hAnsi="Times New Roman"/>
        </w:rPr>
        <w:t xml:space="preserve"> — технический и предназначен для прокладки инженерных коммуникаций.</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При площади чердака более 300м</w:t>
      </w:r>
      <w:r>
        <w:rPr>
          <w:rFonts w:cs="Times New Roman" w:ascii="Times New Roman" w:hAnsi="Times New Roman"/>
          <w:vertAlign w:val="superscript"/>
        </w:rPr>
        <w:t>2</w:t>
      </w:r>
      <w:r>
        <w:rPr>
          <w:rFonts w:cs="Times New Roman" w:ascii="Times New Roman" w:hAnsi="Times New Roman"/>
        </w:rPr>
        <w:t xml:space="preserve"> выполнено два выхода — на лестничную клетку секции и лестничную клетку смежной секции, соединеннной через проем (для секций 6,7) и на лестничную клетку и аварийную зону балкона 16-го этажа (для секции 8).</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Чердак здания – теплый, обогреваемый воздухом вытяжной вентиляции и верхней разводки труб систем отопления. Воздух из вентканалов объединяется в пространстве чердака и выводится наружу через вытяжные шахты с дефлекторами.</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Выход на кровлю предусмотрен непосредственно наружу из лестничной клетки через противопожарную дверь.</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При площади чердака более 300м</w:t>
      </w:r>
      <w:r>
        <w:rPr>
          <w:rFonts w:cs="Times New Roman" w:ascii="Times New Roman" w:hAnsi="Times New Roman"/>
          <w:vertAlign w:val="superscript"/>
        </w:rPr>
        <w:t>2</w:t>
      </w:r>
      <w:r>
        <w:rPr>
          <w:rFonts w:cs="Times New Roman" w:ascii="Times New Roman" w:hAnsi="Times New Roman"/>
        </w:rPr>
        <w:t xml:space="preserve"> выполнено два выхода — на лестничную клетку и аварийную зону балкона 8-х (для секций 6,7) и 16 этажа (секция 8).</w:t>
      </w:r>
    </w:p>
    <w:p>
      <w:pPr>
        <w:pStyle w:val="Textbody"/>
        <w:spacing w:before="0" w:after="0"/>
        <w:ind w:left="0" w:right="-1" w:firstLine="709"/>
        <w:jc w:val="both"/>
        <w:rPr>
          <w:rFonts w:ascii="Times New Roman" w:hAnsi="Times New Roman" w:cs="Times New Roman"/>
          <w:color w:val="009900"/>
        </w:rPr>
      </w:pPr>
      <w:r>
        <w:rPr>
          <w:rFonts w:cs="Times New Roman" w:ascii="Times New Roman" w:hAnsi="Times New Roman"/>
          <w:color w:val="000000"/>
        </w:rPr>
        <w:t>Лестнично-лифтовой блок возвышается над чердаком на 2,4м</w:t>
      </w:r>
      <w:r>
        <w:rPr>
          <w:rFonts w:cs="Times New Roman" w:ascii="Times New Roman" w:hAnsi="Times New Roman"/>
          <w:color w:val="009900"/>
        </w:rPr>
        <w:t>.</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Земельный участок объекта капитального строительства относится к категории земель «жилые зоны», разрешенное использование в соответствии с городским регламентом - «жилые дома со встроенными или пристроенными объектами социального и коммунально-бытового назначения обслуживания населения».</w:t>
      </w:r>
    </w:p>
    <w:p>
      <w:pPr>
        <w:pStyle w:val="Textbody"/>
        <w:spacing w:before="0" w:after="0"/>
        <w:ind w:left="0" w:right="-1" w:firstLine="709"/>
        <w:jc w:val="both"/>
        <w:rPr>
          <w:rFonts w:ascii="Times New Roman" w:hAnsi="Times New Roman" w:cs="Times New Roman"/>
          <w:b/>
          <w:b/>
          <w:bCs/>
          <w:color w:val="000000"/>
        </w:rPr>
      </w:pPr>
      <w:r>
        <w:rPr>
          <w:rFonts w:cs="Times New Roman" w:ascii="Times New Roman" w:hAnsi="Times New Roman"/>
          <w:b/>
          <w:bCs/>
          <w:color w:val="000000"/>
        </w:rPr>
        <w:t>в т.ч.  для секций 6,7</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Лестнично-лифтовый блок каждой из секций объединяет лестничную клетку (тип Л1) с лифтом и мусоропроводом, расположен по центру  секции и  отделен от внеквартирных коридоров жилой части железобетонными  стенами.</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Лестничная клетка типа Л1 имеет выход непосредственно наружу через распашные двери шириной 1,5 м.</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Лифт - пассажирский грузоподъемностью 1000 кг.</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Ширина площадки перед лифтом — не менее 2,1м при глубине кабины 2100мм.</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Внеквартирные коридоры шириной 1.64м и длиной до 12м ведут от лестнично-лифтового холла к квартирам.</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Кладовая уборочного инвентаря расположена на 1-м этаже 7-й секции и оборудована раковиной и поддоном.</w:t>
      </w:r>
    </w:p>
    <w:p>
      <w:pPr>
        <w:pStyle w:val="Textbody"/>
        <w:spacing w:before="0" w:after="0"/>
        <w:ind w:left="0" w:right="-1" w:firstLine="709"/>
        <w:jc w:val="both"/>
        <w:rPr>
          <w:rFonts w:ascii="Times New Roman" w:hAnsi="Times New Roman" w:cs="Times New Roman"/>
          <w:b/>
          <w:b/>
          <w:bCs/>
          <w:color w:val="000000"/>
        </w:rPr>
      </w:pPr>
      <w:r>
        <w:rPr>
          <w:rFonts w:cs="Times New Roman" w:ascii="Times New Roman" w:hAnsi="Times New Roman"/>
          <w:b/>
          <w:bCs/>
          <w:color w:val="000000"/>
        </w:rPr>
        <w:t>в т.ч.  для секции 8</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Жилая часть здания выделена глухими железобетонными панелями и плитами перекрытия и не имеет сообщения с офисными помещениями, встроенными в здание на уровне 1-го этажа.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жилом здании предусмотрена доступность для маломобильных групп населения (МГН) — наружный пандус доступа на 1 этаж, перемещение на этажи лифтом грузоподъёмностью 630кг, оборудованным для перевозки МГН и пожарных подразделений, двери входа &gt;1,2м, двери помещений &gt;1,0м.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Лестнично-лифтовой блок объединяет лестничную клетку жилого дома с лифтами и мусоропроводом, расположен по центру здания и  отделен от внеквартирных коридоров жилой части железобетонными  перегородками с заполнением противопожарными дверями.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Лестничная клетка типа Н2 с подпором воздуха при пожаре, с освещением через глухие окна размером не менее 1,2м</w:t>
      </w:r>
      <w:r>
        <w:rPr>
          <w:rFonts w:cs="Times New Roman" w:ascii="Times New Roman" w:hAnsi="Times New Roman"/>
          <w:vertAlign w:val="superscript"/>
        </w:rPr>
        <w:t>2</w:t>
      </w:r>
      <w:r>
        <w:rPr>
          <w:rFonts w:cs="Times New Roman" w:ascii="Times New Roman" w:hAnsi="Times New Roman"/>
        </w:rPr>
        <w:t>.</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Лестничная клетка выделена железобетонными  перегородками с заполнением противопожарными дверями.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Лестничная клетка имеет выход на уровне 1-го этажа, ведущий непосредственно наружу, через двойной тамбур. Двери - распашные шириной не менее ширины лестничного марша.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Лифтовой холл выполнен с подпором воздуха при пожаре, выделен железобетонными  перегородками с заполнением противопожарными дверями.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Лифтовой холл типовых этажей является зоной безопасности МГН.</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Лифты - грузопассажирский грузоподъемностью 630 кг и пассажирский грузоподъёмностью 400кг. </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Расположение лифтов — однорядное.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Лифт грузоподъёмностью 630кг предназначен для перевозки пожарных подразделений и эвакуации МГН из зоны безопасности.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Ширина площадки перед лифтами — 1,5м при ширине кабины 2,1м лифта грузоподъемностью 630 кг.</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Внеквартирные коридоры шириной 1.9м и 1,7м, длиной до 25м ведут от лестнично-лифтового холла к квартирам.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Кладовая уборочного инвентаря, оборудованная раковиной и поддоном, пожарный пост, оборудованный санузлом и естественным светом, вахта расположены на 1-ом этаже здания.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r>
    </w:p>
    <w:p>
      <w:pPr>
        <w:pStyle w:val="Textbody"/>
        <w:spacing w:before="0" w:after="0"/>
        <w:ind w:left="0" w:right="-1" w:firstLine="709"/>
        <w:jc w:val="both"/>
        <w:rPr>
          <w:rFonts w:ascii="Times New Roman" w:hAnsi="Times New Roman" w:cs="Times New Roman"/>
          <w:b/>
          <w:b/>
          <w:bCs/>
        </w:rPr>
      </w:pPr>
      <w:r>
        <w:rPr>
          <w:rFonts w:cs="Times New Roman" w:ascii="Times New Roman" w:hAnsi="Times New Roman"/>
          <w:b/>
          <w:bCs/>
        </w:rPr>
        <w:t>Нежилые помещения (офисы)</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Подвал предназначен для прокладки инженерных коммуникаций и технических помещений (электрощитовая, ИТП, водомерный узел).</w:t>
      </w:r>
    </w:p>
    <w:p>
      <w:pPr>
        <w:pStyle w:val="Textbody"/>
        <w:spacing w:before="0" w:after="0"/>
        <w:ind w:left="0" w:right="-1" w:firstLine="709"/>
        <w:jc w:val="both"/>
        <w:rPr>
          <w:rFonts w:ascii="Times New Roman" w:hAnsi="Times New Roman" w:cs="Times New Roman"/>
          <w:b/>
          <w:b/>
          <w:bCs/>
          <w:color w:val="000000"/>
        </w:rPr>
      </w:pPr>
      <w:r>
        <w:rPr>
          <w:rFonts w:cs="Times New Roman" w:ascii="Times New Roman" w:hAnsi="Times New Roman"/>
          <w:color w:val="000000"/>
        </w:rPr>
        <w:t>Подвал — теплый, обогреваемый за счет остаточного тепла нижней разводки труб систем отопления и горячего водоснабжения.</w:t>
      </w:r>
    </w:p>
    <w:p>
      <w:pPr>
        <w:pStyle w:val="Textbody"/>
        <w:spacing w:before="0" w:after="0"/>
        <w:ind w:left="0" w:right="-1" w:firstLine="709"/>
        <w:jc w:val="both"/>
        <w:rPr>
          <w:rFonts w:ascii="Times New Roman" w:hAnsi="Times New Roman" w:cs="Times New Roman"/>
          <w:color w:val="000000"/>
        </w:rPr>
      </w:pPr>
      <w:r>
        <w:rPr>
          <w:rFonts w:cs="Times New Roman" w:ascii="Times New Roman" w:hAnsi="Times New Roman"/>
          <w:color w:val="000000"/>
        </w:rPr>
        <w:t>Подвал не имеет прямого сообщения с 1-м этажом здания. Выходы  расположены рассредоточено и ведут непосредственно наружу.</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подвале выполнены продухи площадью 0,05м</w:t>
      </w:r>
      <w:r>
        <w:rPr>
          <w:rFonts w:cs="Times New Roman" w:ascii="Times New Roman" w:hAnsi="Times New Roman"/>
          <w:vertAlign w:val="superscript"/>
        </w:rPr>
        <w:t>2</w:t>
      </w:r>
      <w:r>
        <w:rPr>
          <w:rFonts w:cs="Times New Roman" w:ascii="Times New Roman" w:hAnsi="Times New Roman"/>
        </w:rPr>
        <w:t xml:space="preserve"> и компенсирующие  решетки Евровент  в дверях выхода из подвала общей площадью не менее 1/400 площади пола подвала.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подвале выполнены приямки дымоудаления с окнами размером 0,9х1,2м.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В здании предусмотрены 2 лестницы типа </w:t>
      </w:r>
      <w:r>
        <w:rPr>
          <w:rFonts w:cs="Times New Roman" w:ascii="Times New Roman" w:hAnsi="Times New Roman"/>
          <w:b/>
          <w:bCs/>
        </w:rPr>
        <w:t xml:space="preserve">Л1 </w:t>
      </w:r>
      <w:r>
        <w:rPr>
          <w:rFonts w:cs="Times New Roman" w:ascii="Times New Roman" w:hAnsi="Times New Roman"/>
          <w:bCs/>
        </w:rPr>
        <w:t>и типа</w:t>
      </w:r>
      <w:r>
        <w:rPr>
          <w:rFonts w:cs="Times New Roman" w:ascii="Times New Roman" w:hAnsi="Times New Roman"/>
          <w:b/>
          <w:bCs/>
        </w:rPr>
        <w:t xml:space="preserve"> Н1. </w:t>
      </w:r>
      <w:r>
        <w:rPr>
          <w:rFonts w:cs="Times New Roman" w:ascii="Times New Roman" w:hAnsi="Times New Roman"/>
          <w:bCs/>
        </w:rPr>
        <w:t>Лестница типа</w:t>
      </w:r>
      <w:r>
        <w:rPr>
          <w:rFonts w:cs="Times New Roman" w:ascii="Times New Roman" w:hAnsi="Times New Roman"/>
          <w:b/>
          <w:bCs/>
        </w:rPr>
        <w:t xml:space="preserve"> Н1</w:t>
      </w:r>
      <w:r>
        <w:rPr>
          <w:rFonts w:cs="Times New Roman" w:ascii="Times New Roman" w:hAnsi="Times New Roman"/>
        </w:rPr>
        <w:t xml:space="preserve"> имеет выход на кровлю непосредственно наружу по стремянке.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здании запроектирован 1 лифт  грузоподъёмностью 630кг, предназначенный для доступа и эвакуации МГН.</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Фасад здания выполнен в трёх цветах (светло-коричневый, песочный и белый).</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Цоколь — облицовка крупноразмерной фасадной плиткой тёмно-коричневого цвета.</w:t>
      </w:r>
    </w:p>
    <w:p>
      <w:pPr>
        <w:pStyle w:val="Textbody"/>
        <w:spacing w:before="0" w:after="0"/>
        <w:ind w:left="0" w:right="-1" w:firstLine="709"/>
        <w:jc w:val="both"/>
        <w:rPr>
          <w:rFonts w:ascii="Times New Roman" w:hAnsi="Times New Roman" w:cs="Times New Roman"/>
          <w:b/>
          <w:b/>
          <w:bCs/>
        </w:rPr>
      </w:pPr>
      <w:r>
        <w:rPr>
          <w:rFonts w:cs="Times New Roman" w:ascii="Times New Roman" w:hAnsi="Times New Roman"/>
          <w:b/>
          <w:bCs/>
        </w:rPr>
        <w:t xml:space="preserve">Жилая часть здания </w:t>
      </w:r>
      <w:r>
        <w:rPr>
          <w:rFonts w:cs="Times New Roman" w:ascii="Times New Roman" w:hAnsi="Times New Roman"/>
        </w:rPr>
        <w:t>(класс функциональной пожарной опасности — Ф1.3):</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Класс пожарной опасности отделочных материалов должен быть не более: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Стены и потолки лестничной клетки и лифтового холла — КМ1;</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Стены и потолки внеквартирных коридоров — КМ2;</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Покрытие полов лестничной клетки и лифтового холла — КМ2;</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Покрытие полов внеквартирных коридоров — КМ3.</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Стены:</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окраска водоэмульсионной краской - внеквартирные коридоры, лестнично-лифтовые блоки, технические помещения;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облицовка глазурованной плиткой -  мусорокамеры, КУИ;</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Потолки: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окраска водоэмульсионной краской потолков внеквартирных коридоров, лестнично-лифтовых блоков, технических помещений, КУИ.</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Полы:</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керамическая плитка с шероховатой поверхностью — внеквартирные коридоры, КУИ, мусорокамеры, машинные отделения лифтов, технические помещения.</w:t>
      </w:r>
    </w:p>
    <w:p>
      <w:pPr>
        <w:pStyle w:val="Textbody"/>
        <w:spacing w:before="0" w:after="0"/>
        <w:ind w:left="0" w:right="-1" w:firstLine="709"/>
        <w:jc w:val="both"/>
        <w:rPr>
          <w:rFonts w:ascii="Times New Roman" w:hAnsi="Times New Roman" w:cs="Times New Roman"/>
          <w:b/>
          <w:b/>
          <w:bCs/>
        </w:rPr>
      </w:pPr>
      <w:r>
        <w:rPr>
          <w:rFonts w:cs="Times New Roman" w:ascii="Times New Roman" w:hAnsi="Times New Roman"/>
          <w:b/>
          <w:bCs/>
        </w:rPr>
        <w:t xml:space="preserve">Нежилые помещения свободной планировки </w:t>
      </w:r>
      <w:r>
        <w:rPr>
          <w:rFonts w:cs="Times New Roman" w:ascii="Times New Roman" w:hAnsi="Times New Roman"/>
        </w:rPr>
        <w:t>(класс функциональной пожарной опасности — Ф4.3):</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Класс пожарной опасности отделочных материалов должен быть не более: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Стены и потолки лестничной клетки и лифтового холла — КМ1;</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Покрытие полов лестничной клетки и лифтового холла — КМ2;</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Стены:</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окраска водоэмульсионной краской - технические помещения;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облицовка глазурованной плиткой -   КУИ;</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Потолки: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окраска водоэмульсионной краской потолков технических помещений, КУИ.</w:t>
      </w:r>
    </w:p>
    <w:p>
      <w:pPr>
        <w:pStyle w:val="Textbody"/>
        <w:spacing w:before="0" w:after="0"/>
        <w:ind w:left="0" w:right="-1" w:firstLine="709"/>
        <w:jc w:val="both"/>
        <w:rPr>
          <w:rFonts w:ascii="Times New Roman" w:hAnsi="Times New Roman" w:cs="Times New Roman"/>
          <w:u w:val="single"/>
        </w:rPr>
      </w:pPr>
      <w:r>
        <w:rPr>
          <w:rFonts w:cs="Times New Roman" w:ascii="Times New Roman" w:hAnsi="Times New Roman"/>
          <w:u w:val="single"/>
        </w:rPr>
        <w:t>Полы:</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керамическая плитка с шероховатой поверхностью —  технические помещения.</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Освещение помещений квартир осуществляется через окна и балконные двери в проемах наружных стен.</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Отношение площади окон к площади пола жилых комнат находится в пределах 1/8 и не превышает в среднем по дому 1/5.</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Освещение лестничной клетки — через окна площадью не менее 1,2м</w:t>
      </w:r>
      <w:r>
        <w:rPr>
          <w:rFonts w:cs="Times New Roman" w:ascii="Times New Roman" w:hAnsi="Times New Roman"/>
          <w:vertAlign w:val="superscript"/>
        </w:rPr>
        <w:t>2</w:t>
      </w:r>
      <w:r>
        <w:rPr>
          <w:rFonts w:cs="Times New Roman" w:ascii="Times New Roman" w:hAnsi="Times New Roman"/>
        </w:rPr>
        <w:t>.</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Освещение тамбуров входов — через частичное остекление дверных блоков.</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Освещение офисных помещений на 1-м этаже секции 8 и нежилых помещений свободной планировки осуществляется через витражи и окна в наружных стенах.</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Для защиты от технического шума производственного оборудования электрощитовых, насосной и ИТП, расположенных под нежилыми помещениями и помещениями свободной планировки выполнена звукоизоляция потолка.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Шахта лифта, как и ствол мусоропровода, отделены от примыкающих перекрытий зазором 40мм с заполнением минеральной ватой.</w:t>
      </w:r>
    </w:p>
    <w:p>
      <w:pPr>
        <w:pStyle w:val="Normal"/>
        <w:tabs>
          <w:tab w:val="left" w:pos="142" w:leader="none"/>
        </w:tabs>
        <w:ind w:right="-1" w:firstLine="709"/>
        <w:rPr>
          <w:color w:val="000000" w:themeColor="text1"/>
          <w:highlight w:val="yellow"/>
          <w:lang w:eastAsia="en-US"/>
        </w:rPr>
      </w:pPr>
      <w:r>
        <w:rPr>
          <w:color w:val="000000" w:themeColor="text1"/>
          <w:highlight w:val="yellow"/>
          <w:lang w:eastAsia="en-US"/>
        </w:rPr>
      </w:r>
    </w:p>
    <w:p>
      <w:pPr>
        <w:pStyle w:val="Normal"/>
        <w:tabs>
          <w:tab w:val="left" w:pos="142" w:leader="none"/>
        </w:tabs>
        <w:ind w:right="-1" w:firstLine="709"/>
        <w:rPr>
          <w:color w:val="000000" w:themeColor="text1"/>
          <w:highlight w:val="yellow"/>
          <w:lang w:eastAsia="en-US"/>
        </w:rPr>
      </w:pPr>
      <w:r>
        <w:rPr>
          <w:color w:val="000000" w:themeColor="text1"/>
          <w:highlight w:val="yellow"/>
          <w:lang w:eastAsia="en-US"/>
        </w:rPr>
      </w:r>
    </w:p>
    <w:p>
      <w:pPr>
        <w:pStyle w:val="Normal"/>
        <w:tabs>
          <w:tab w:val="left" w:pos="142" w:leader="none"/>
        </w:tabs>
        <w:ind w:right="-1" w:hanging="0"/>
        <w:rPr>
          <w:b/>
          <w:b/>
          <w:bCs/>
          <w:color w:val="000000" w:themeColor="text1"/>
          <w:highlight w:val="yellow"/>
        </w:rPr>
      </w:pPr>
      <w:r>
        <w:rPr>
          <w:b/>
          <w:color w:val="000000" w:themeColor="text1"/>
        </w:rPr>
        <w:t xml:space="preserve">3.2.3.2. </w:t>
      </w:r>
      <w:r>
        <w:rPr>
          <w:b/>
          <w:bCs/>
          <w:color w:val="000000" w:themeColor="text1"/>
        </w:rPr>
        <w:t>Конструктивные решения</w:t>
      </w:r>
    </w:p>
    <w:p>
      <w:pPr>
        <w:pStyle w:val="Normal"/>
        <w:ind w:right="-1" w:firstLine="709"/>
        <w:rPr>
          <w:b/>
          <w:b/>
          <w:bCs/>
          <w:color w:val="000000" w:themeColor="text1"/>
          <w:highlight w:val="yellow"/>
        </w:rPr>
      </w:pPr>
      <w:r>
        <w:rPr>
          <w:b/>
          <w:bCs/>
          <w:color w:val="000000" w:themeColor="text1"/>
          <w:highlight w:val="yellow"/>
        </w:rPr>
      </w:r>
    </w:p>
    <w:p>
      <w:pPr>
        <w:pStyle w:val="Normal"/>
        <w:ind w:right="-1" w:firstLine="709"/>
        <w:rPr/>
      </w:pPr>
      <w:r>
        <w:rPr/>
        <w:t xml:space="preserve">Данный объект представляет собой многоквартирный жилой дом со встроенно-пристроенными помещениями делового, культурного и обслуживающего назначения. </w:t>
      </w:r>
    </w:p>
    <w:p>
      <w:pPr>
        <w:pStyle w:val="Normal"/>
        <w:ind w:right="-1" w:firstLine="709"/>
        <w:rPr/>
      </w:pPr>
      <w:r>
        <w:rPr/>
        <w:t xml:space="preserve">Жилой дом состоит из семи типовых 10-ти этажных (включая технический чердак) блок-секций и одной типовой 17-ти этажной (включая технический чердак) блок –секции с нижним техническим этажом для прокладки инженерных коммуникаций (подвалом). </w:t>
      </w:r>
    </w:p>
    <w:p>
      <w:pPr>
        <w:pStyle w:val="Normal"/>
        <w:ind w:right="-1" w:firstLine="709"/>
        <w:rPr/>
      </w:pPr>
      <w:r>
        <w:rPr/>
        <w:t>К жилому дому примыкает 3-х этажное здание, выполненное в монолитных конструкциях, в котором размещены нежилые помещения (офисы).</w:t>
      </w:r>
    </w:p>
    <w:p>
      <w:pPr>
        <w:pStyle w:val="Normal"/>
        <w:ind w:right="-1" w:firstLine="709"/>
        <w:rPr/>
      </w:pPr>
      <w:r>
        <w:rPr/>
        <w:t>Строительство объекта запроектировано в 2 этапа:</w:t>
      </w:r>
    </w:p>
    <w:p>
      <w:pPr>
        <w:pStyle w:val="Normal"/>
        <w:ind w:right="-1" w:firstLine="709"/>
        <w:rPr/>
      </w:pPr>
      <w:r>
        <w:rPr/>
        <w:t xml:space="preserve">1 этап — пять сблокированных 10-ти этажных (включая технический чердак) блок-секций — 1...5 секции;) </w:t>
      </w:r>
    </w:p>
    <w:p>
      <w:pPr>
        <w:pStyle w:val="Normal"/>
        <w:ind w:right="-1" w:firstLine="709"/>
        <w:rPr/>
      </w:pPr>
      <w:r>
        <w:rPr/>
        <w:t>2 этап — две 10-ти этажные (включая технический чердак) блок-секции — 6-я и 7-я и одна 17-ти этажная (включая технический чердак) блок-секция — 8-я, сблокированные между собой и соединенные с 1-ой секцией 3-х этажным зданием с нежилыми помещениями (офисами).</w:t>
      </w:r>
    </w:p>
    <w:p>
      <w:pPr>
        <w:pStyle w:val="Normal"/>
        <w:ind w:right="-1" w:firstLine="709"/>
        <w:rPr/>
      </w:pPr>
      <w:r>
        <w:rPr/>
        <w:t>Все секции жилого дома — повторного применения, крупнопанельные в конструкциях серии 1.090.1-1/88 (завод-изготовитель — ЗАО Тольяттинский завод ЖБИ, г.Тольятти).</w:t>
      </w:r>
    </w:p>
    <w:p>
      <w:pPr>
        <w:pStyle w:val="Normal"/>
        <w:ind w:right="-1" w:firstLine="709"/>
        <w:rPr/>
      </w:pPr>
      <w:r>
        <w:rPr/>
        <w:t>Документом, подтверждающим соответствие типовой документации, климатическим, гидрогеологическим и иным условиям, в которых она подлежит применению повторно, является прилагаемый «Сертификат соответствия «Система сертификации ГОСТР Госстандарт России» № РОСС RU.СР48.С00227 для 10-ти этажных секций и № РОСС RU.СР48.С00232 для 17-ти этажной секции.</w:t>
      </w:r>
    </w:p>
    <w:p>
      <w:pPr>
        <w:pStyle w:val="Normal"/>
        <w:widowControl/>
        <w:spacing w:beforeAutospacing="1" w:after="0"/>
        <w:ind w:right="-1" w:firstLine="709"/>
        <w:jc w:val="left"/>
        <w:rPr>
          <w:rFonts w:eastAsia="Times New Roman"/>
          <w:b/>
          <w:b/>
          <w:bCs/>
        </w:rPr>
      </w:pPr>
      <w:r>
        <w:rPr>
          <w:rFonts w:eastAsia="Times New Roman"/>
          <w:b/>
          <w:bCs/>
        </w:rPr>
        <w:t xml:space="preserve">1 этап строительства. </w:t>
      </w:r>
    </w:p>
    <w:p>
      <w:pPr>
        <w:pStyle w:val="Normal"/>
        <w:ind w:right="-1" w:firstLine="709"/>
        <w:rPr/>
      </w:pPr>
      <w:r>
        <w:rPr/>
        <w:t>Пять секций здания имеют размеры в плане:</w:t>
      </w:r>
    </w:p>
    <w:p>
      <w:pPr>
        <w:pStyle w:val="Normal"/>
        <w:ind w:right="-1" w:firstLine="709"/>
        <w:rPr/>
      </w:pPr>
      <w:r>
        <w:rPr/>
        <w:t>1 секция — угловая левая с размерами в плане в осях – 12,3 (16,8) х 30,6м;</w:t>
      </w:r>
    </w:p>
    <w:p>
      <w:pPr>
        <w:pStyle w:val="Normal"/>
        <w:ind w:right="-1" w:firstLine="709"/>
        <w:rPr/>
      </w:pPr>
      <w:r>
        <w:rPr/>
        <w:t>2 секция — торцевая левая с размерами в плане в осях — 13,8 х 22,8м;</w:t>
      </w:r>
    </w:p>
    <w:p>
      <w:pPr>
        <w:pStyle w:val="Normal"/>
        <w:ind w:right="-1" w:firstLine="709"/>
        <w:rPr/>
      </w:pPr>
      <w:r>
        <w:rPr/>
        <w:t>3 секция - торцевая правая с размерами в плане в осях — 13,8 х 22,8м;</w:t>
      </w:r>
    </w:p>
    <w:p>
      <w:pPr>
        <w:pStyle w:val="Normal"/>
        <w:ind w:right="-1" w:firstLine="709"/>
        <w:rPr/>
      </w:pPr>
      <w:r>
        <w:rPr/>
        <w:t>4 секция — угловая левая с размерами в плане в осях – 12,3 (16,8) х 20,4м;</w:t>
      </w:r>
    </w:p>
    <w:p>
      <w:pPr>
        <w:pStyle w:val="Normal"/>
        <w:ind w:right="-1" w:firstLine="709"/>
        <w:rPr/>
      </w:pPr>
      <w:r>
        <w:rPr/>
        <w:t>5 секция - торцевая правая с размерами в плане в осях — 13,8 х 23,4м.</w:t>
      </w:r>
    </w:p>
    <w:p>
      <w:pPr>
        <w:pStyle w:val="Normal"/>
        <w:ind w:right="-1" w:firstLine="709"/>
        <w:rPr/>
      </w:pPr>
      <w:r>
        <w:rPr/>
        <w:t>Конструктивная схема здания — сборный железобетонный каркас с несущими наружными и внутренними стеновыми панелями.</w:t>
      </w:r>
    </w:p>
    <w:p>
      <w:pPr>
        <w:pStyle w:val="Normal"/>
        <w:ind w:right="-1" w:firstLine="709"/>
        <w:rPr/>
      </w:pPr>
      <w:r>
        <w:rPr/>
        <w:t>Пространственная жесткость обеспечивается совместной работой продольных и поперечных стен, объединенных жестким диском перекрытия.</w:t>
      </w:r>
    </w:p>
    <w:p>
      <w:pPr>
        <w:pStyle w:val="Normal"/>
        <w:ind w:right="-1" w:firstLine="709"/>
        <w:rPr/>
      </w:pPr>
      <w:r>
        <w:rPr/>
        <w:t>Уровень ответственности здания — II</w:t>
      </w:r>
    </w:p>
    <w:p>
      <w:pPr>
        <w:pStyle w:val="Normal"/>
        <w:ind w:right="-1" w:firstLine="709"/>
        <w:rPr/>
      </w:pPr>
      <w:r>
        <w:rPr/>
        <w:t>Степень огнестойкости здания — II.</w:t>
      </w:r>
    </w:p>
    <w:p>
      <w:pPr>
        <w:pStyle w:val="Normal"/>
        <w:ind w:right="-1" w:firstLine="709"/>
        <w:rPr/>
      </w:pPr>
      <w:r>
        <w:rPr/>
        <w:t>Класс функциональной пожарной опасности здания — Ф1.3</w:t>
      </w:r>
    </w:p>
    <w:p>
      <w:pPr>
        <w:pStyle w:val="Normal"/>
        <w:ind w:right="-1" w:firstLine="709"/>
        <w:rPr/>
      </w:pPr>
      <w:r>
        <w:rPr/>
        <w:t>Класс конструктивной пожарной опасности здания — С1;</w:t>
      </w:r>
    </w:p>
    <w:p>
      <w:pPr>
        <w:pStyle w:val="Normal"/>
        <w:ind w:right="-1" w:firstLine="709"/>
        <w:rPr/>
      </w:pPr>
      <w:r>
        <w:rPr/>
        <w:t>Класс пожарной опасности строительных конструкций — К1;</w:t>
      </w:r>
    </w:p>
    <w:p>
      <w:pPr>
        <w:pStyle w:val="Normal"/>
        <w:ind w:right="-1" w:firstLine="709"/>
        <w:rPr/>
      </w:pPr>
      <w:r>
        <w:rPr/>
        <w:t>Класс пожарной опасности строительных материалов — КМ1;</w:t>
      </w:r>
    </w:p>
    <w:p>
      <w:pPr>
        <w:pStyle w:val="Normal"/>
        <w:ind w:right="-1" w:firstLine="709"/>
        <w:rPr/>
      </w:pPr>
      <w:r>
        <w:rPr/>
        <w:t>Высота здания от поверхности проезда пожарной техники до нижней границы окна верхнего этажа составляет менее 50м;</w:t>
      </w:r>
    </w:p>
    <w:p>
      <w:pPr>
        <w:pStyle w:val="Normal"/>
        <w:ind w:right="-1" w:firstLine="709"/>
        <w:rPr/>
      </w:pPr>
      <w:r>
        <w:rPr/>
        <w:t>Общая площадь квартир на этаже до 500 м</w:t>
      </w:r>
      <w:r>
        <w:rPr>
          <w:vertAlign w:val="superscript"/>
        </w:rPr>
        <w:t>2</w:t>
      </w:r>
      <w:r>
        <w:rPr/>
        <w:t>;</w:t>
      </w:r>
    </w:p>
    <w:p>
      <w:pPr>
        <w:pStyle w:val="Normal"/>
        <w:ind w:right="-1" w:firstLine="709"/>
        <w:rPr/>
      </w:pPr>
      <w:r>
        <w:rPr/>
        <w:t>Расчетная зимняя температура воздуха -30 °С;</w:t>
      </w:r>
    </w:p>
    <w:p>
      <w:pPr>
        <w:pStyle w:val="Normal"/>
        <w:ind w:right="-1" w:firstLine="709"/>
        <w:rPr/>
      </w:pPr>
      <w:r>
        <w:rPr/>
        <w:t>Расчетное значение веса снегового покрова на 1м2 горизонтальной поверхности земли для IV снегового района территории РФ — 2,4 кПа;</w:t>
      </w:r>
    </w:p>
    <w:p>
      <w:pPr>
        <w:pStyle w:val="Normal"/>
        <w:ind w:right="-1" w:firstLine="709"/>
        <w:rPr/>
      </w:pPr>
      <w:r>
        <w:rPr/>
        <w:t>Нормативное значение ветрового давления для III ветрового района — 38 кПа;</w:t>
      </w:r>
    </w:p>
    <w:p>
      <w:pPr>
        <w:pStyle w:val="Normal"/>
        <w:ind w:right="-1" w:firstLine="709"/>
        <w:rPr/>
      </w:pPr>
      <w:r>
        <w:rPr/>
        <w:t>Нормативная глубина промерзания грунта — 1,6м.</w:t>
      </w:r>
    </w:p>
    <w:p>
      <w:pPr>
        <w:pStyle w:val="Normal"/>
        <w:widowControl/>
        <w:spacing w:beforeAutospacing="1" w:after="0"/>
        <w:ind w:right="-1" w:firstLine="709"/>
        <w:rPr>
          <w:rFonts w:eastAsia="Times New Roman"/>
        </w:rPr>
      </w:pPr>
      <w:r>
        <w:rPr>
          <w:rFonts w:eastAsia="Times New Roman"/>
          <w:i/>
        </w:rPr>
        <w:t>Описание и обоснование конструктивных решений зданий и сооружений, включая их пространственные схемы, принятые при выполнении расчетов строительных конструкций</w:t>
      </w:r>
      <w:r>
        <w:rPr>
          <w:rFonts w:eastAsia="Times New Roman"/>
        </w:rPr>
        <w:t xml:space="preserve">. </w:t>
      </w:r>
    </w:p>
    <w:p>
      <w:pPr>
        <w:pStyle w:val="Normal"/>
        <w:ind w:right="-1" w:firstLine="709"/>
        <w:rPr/>
      </w:pPr>
      <w:r>
        <w:rPr/>
        <w:t>Пять секций - 10-ти этажных (включая технический чердак), выполнены по серии 1.090.1-1/88(Тольяттинская). Завод-изготовитель ЗАО «Тольяттинский завод ЖБИ» г. Тольятти, сертификат соответствия № РОСС RU.СР48.С00227.</w:t>
      </w:r>
    </w:p>
    <w:p>
      <w:pPr>
        <w:pStyle w:val="Normal"/>
        <w:ind w:right="-1" w:firstLine="709"/>
        <w:rPr/>
      </w:pPr>
      <w:r>
        <w:rPr/>
        <w:t>Конструктивная схема здания сборный железобетонный каркас с несущими наружными и внутренними стеновыми панелями. Пространственная жесткость здания обеспечена совместной работой продольных и поперечных стен объединённых жёстким диском перекрытия.</w:t>
      </w:r>
    </w:p>
    <w:p>
      <w:pPr>
        <w:pStyle w:val="Normal"/>
        <w:ind w:right="-1" w:firstLine="709"/>
        <w:rPr/>
      </w:pPr>
      <w:r>
        <w:rPr/>
        <w:t>В проекте приняты следующие конструкции:</w:t>
      </w:r>
    </w:p>
    <w:p>
      <w:pPr>
        <w:pStyle w:val="Normal"/>
        <w:ind w:right="-1" w:firstLine="709"/>
        <w:rPr/>
      </w:pPr>
      <w:r>
        <w:rPr/>
        <w:t>- несущие</w:t>
      </w:r>
    </w:p>
    <w:p>
      <w:pPr>
        <w:pStyle w:val="Normal"/>
        <w:ind w:right="-1" w:firstLine="709"/>
        <w:rPr/>
      </w:pPr>
      <w:r>
        <w:rPr/>
        <w:t xml:space="preserve">1. Фундамент — монолитные железобетонные плиты ПМ1 (секции 1,2), Пм2 (секции 3...5). Бетон класса В25; F150; W6. Бетонная подготовка толщиной 100мм из бетона класса В7,5; F75. </w:t>
      </w:r>
    </w:p>
    <w:p>
      <w:pPr>
        <w:pStyle w:val="Normal"/>
        <w:ind w:right="-1" w:firstLine="709"/>
        <w:rPr/>
      </w:pPr>
      <w:r>
        <w:rPr/>
        <w:t>2. Наружные стены — трехслойные керамзитобетонные толщиной 400мм в жилой части и 350мм в цокольной и чердачной частях. Внутренний утепляющий слой панелей — пенополистирол.</w:t>
      </w:r>
    </w:p>
    <w:p>
      <w:pPr>
        <w:pStyle w:val="Normal"/>
        <w:ind w:right="-1" w:firstLine="709"/>
        <w:rPr/>
      </w:pPr>
      <w:r>
        <w:rPr/>
        <w:t>3. Внутренние стены — несущие сборные железобетонные панели толщиной 160мм.</w:t>
      </w:r>
    </w:p>
    <w:p>
      <w:pPr>
        <w:pStyle w:val="Normal"/>
        <w:ind w:right="-1" w:firstLine="709"/>
        <w:rPr/>
      </w:pPr>
      <w:r>
        <w:rPr/>
        <w:t>4. Междуэтажные перекрытия и покрытие — многопустотные железобетонные плиты толщиной 220мм.</w:t>
      </w:r>
    </w:p>
    <w:p>
      <w:pPr>
        <w:pStyle w:val="Normal"/>
        <w:ind w:right="-1" w:firstLine="709"/>
        <w:rPr/>
      </w:pPr>
      <w:r>
        <w:rPr/>
        <w:t>5. Лестничные марши и площадки — сборные железобетонные.</w:t>
      </w:r>
    </w:p>
    <w:p>
      <w:pPr>
        <w:pStyle w:val="Normal"/>
        <w:ind w:right="-1" w:firstLine="709"/>
        <w:rPr/>
      </w:pPr>
      <w:r>
        <w:rPr/>
        <w:t>6. Шахты лифтов — сборные железобетонные.</w:t>
      </w:r>
    </w:p>
    <w:p>
      <w:pPr>
        <w:pStyle w:val="Normal"/>
        <w:ind w:right="-1" w:firstLine="709"/>
        <w:rPr/>
      </w:pPr>
      <w:r>
        <w:rPr/>
        <w:t>- не несущие:</w:t>
      </w:r>
    </w:p>
    <w:p>
      <w:pPr>
        <w:pStyle w:val="Normal"/>
        <w:ind w:right="-1" w:firstLine="709"/>
        <w:rPr/>
      </w:pPr>
      <w:r>
        <w:rPr/>
        <w:t>1. Перегородки межквартирные — сборные железобетонные панели толщиной 160мм; перегородки санузлов — сборные железобетонные панели толщиной 80мм.</w:t>
      </w:r>
    </w:p>
    <w:p>
      <w:pPr>
        <w:pStyle w:val="Normal"/>
        <w:ind w:right="-1" w:firstLine="709"/>
        <w:rPr/>
      </w:pPr>
      <w:r>
        <w:rPr/>
        <w:t>2. Вентблоки — сборные железобетонные.</w:t>
      </w:r>
    </w:p>
    <w:p>
      <w:pPr>
        <w:pStyle w:val="Normal"/>
        <w:ind w:right="-1" w:firstLine="709"/>
        <w:rPr/>
      </w:pPr>
      <w:r>
        <w:rPr/>
        <w:t>3. Мусорокамера — кирпичные перегородки толщиной 250мм.</w:t>
      </w:r>
    </w:p>
    <w:p>
      <w:pPr>
        <w:pStyle w:val="Normal"/>
        <w:ind w:right="-1" w:firstLine="709"/>
        <w:rPr/>
      </w:pPr>
      <w:r>
        <w:rPr/>
        <w:t>4. Мусоропровод — асбестоцементные трубы.</w:t>
      </w:r>
    </w:p>
    <w:p>
      <w:pPr>
        <w:pStyle w:val="Normal"/>
        <w:ind w:right="-1" w:firstLine="709"/>
        <w:rPr/>
      </w:pPr>
      <w:r>
        <w:rPr/>
        <w:t>5. Кровля — рулонная наплавляемая.</w:t>
      </w:r>
    </w:p>
    <w:p>
      <w:pPr>
        <w:pStyle w:val="Normal"/>
        <w:ind w:right="-1" w:firstLine="709"/>
        <w:rPr/>
      </w:pPr>
      <w:r>
        <w:rPr/>
        <w:t>При выполнении строительно-монтажных работ для достижения точности геометрических параметров числовые значения предельных отклонений приняты по СНиП 3.03.01-87 «Несущие и ограждающие конструкции».</w:t>
      </w:r>
    </w:p>
    <w:p>
      <w:pPr>
        <w:pStyle w:val="Normal"/>
        <w:widowControl/>
        <w:spacing w:beforeAutospacing="1" w:after="0"/>
        <w:ind w:right="-1" w:firstLine="709"/>
        <w:rPr>
          <w:rFonts w:eastAsia="Times New Roman"/>
          <w:i/>
          <w:i/>
        </w:rPr>
      </w:pPr>
      <w:r>
        <w:rPr>
          <w:rFonts w:eastAsia="Times New Roman"/>
          <w:i/>
        </w:rPr>
        <w:t>Описание и обоснование технических решений, обеспечивающих необходимую прочность, устойчивость, пространственную неизменяемость зданий и сооружений объекта капитального строительства в целом, а также его отдельных конструктивных элементов, узлов, деталей в процессе изготовления, перевозки, строительства и эксплуатации объекта капитального строительства</w:t>
      </w:r>
    </w:p>
    <w:p>
      <w:pPr>
        <w:pStyle w:val="Normal"/>
        <w:ind w:right="-1" w:firstLine="709"/>
        <w:rPr/>
      </w:pPr>
      <w:r>
        <w:rPr/>
        <w:t>Конструктивная схема здания сборный железобетонный каркас с несущими наружными и внутренними стеновыми панелями.</w:t>
      </w:r>
    </w:p>
    <w:p>
      <w:pPr>
        <w:pStyle w:val="Normal"/>
        <w:ind w:right="-1" w:firstLine="709"/>
        <w:rPr/>
      </w:pPr>
      <w:r>
        <w:rPr/>
        <w:t>Пространственная жесткость здания обеспечена совместной работой продольных и поперечных стен, объединённых жёстким диском перекрытия.</w:t>
      </w:r>
    </w:p>
    <w:p>
      <w:pPr>
        <w:pStyle w:val="Normal"/>
        <w:ind w:right="-1" w:firstLine="709"/>
        <w:rPr/>
      </w:pPr>
      <w:r>
        <w:rPr/>
        <w:t xml:space="preserve">Плиты междуэтажных перекрытий объединяются в единый диск с помощью металлических связей, работающих в плоскости перекрытия на растяжение и сдвиг, а также устраиваются междуэтажные связи, обеспечивающие работу горизонтальных стыков между перекрытиями и стенами на растяжение и сдвиг. </w:t>
      </w:r>
    </w:p>
    <w:p>
      <w:pPr>
        <w:pStyle w:val="Normal"/>
        <w:widowControl/>
        <w:spacing w:beforeAutospacing="1" w:after="0"/>
        <w:ind w:right="-1" w:firstLine="709"/>
        <w:rPr>
          <w:rFonts w:eastAsia="Times New Roman"/>
          <w:i/>
          <w:i/>
        </w:rPr>
      </w:pPr>
      <w:r>
        <w:rPr>
          <w:rFonts w:eastAsia="Times New Roman"/>
          <w:i/>
        </w:rPr>
        <w:t>Описание конструктивных и технических решений подземной части объекта капитального строительства</w:t>
      </w:r>
    </w:p>
    <w:p>
      <w:pPr>
        <w:pStyle w:val="Normal"/>
        <w:ind w:right="-1" w:firstLine="709"/>
        <w:rPr/>
      </w:pPr>
      <w:r>
        <w:rPr/>
        <w:t>Подвал предназначен для прокладки инженерных коммуникаций и технических помещений (электрощитовая, ИТП, водомерный узел, насосная).</w:t>
      </w:r>
    </w:p>
    <w:p>
      <w:pPr>
        <w:pStyle w:val="Normal"/>
        <w:ind w:right="-1" w:firstLine="709"/>
        <w:rPr/>
      </w:pPr>
      <w:r>
        <w:rPr/>
        <w:t>Подвал — теплый, обогреваемый за счет остаточного тепла нижней разводки труб систем отопления и горячего водоснабжения.</w:t>
      </w:r>
    </w:p>
    <w:p>
      <w:pPr>
        <w:pStyle w:val="Normal"/>
        <w:ind w:right="-1" w:firstLine="709"/>
        <w:rPr/>
      </w:pPr>
      <w:r>
        <w:rPr/>
        <w:t>Подвал не имеет прямого сообщения с жилой частью здания. Выходы расположены рассредоточено и ведут непосредственно наружу.</w:t>
      </w:r>
    </w:p>
    <w:p>
      <w:pPr>
        <w:pStyle w:val="Normal"/>
        <w:ind w:right="-1" w:firstLine="709"/>
        <w:rPr/>
      </w:pPr>
      <w:r>
        <w:rPr/>
        <w:t>Высота помещений подвала в свету — 2,2м.</w:t>
      </w:r>
    </w:p>
    <w:p>
      <w:pPr>
        <w:pStyle w:val="Normal"/>
        <w:ind w:right="-1" w:firstLine="709"/>
        <w:rPr/>
      </w:pPr>
      <w:r>
        <w:rPr/>
        <w:t>Наружные стены подвала - трехслойные стеновые панели толщиной 350мм из тяжелого бетона с внутренним слоем утеплителя из пенополистирола ПСБ-С.</w:t>
      </w:r>
    </w:p>
    <w:p>
      <w:pPr>
        <w:pStyle w:val="Normal"/>
        <w:ind w:right="-1" w:firstLine="709"/>
        <w:rPr/>
      </w:pPr>
      <w:r>
        <w:rPr/>
        <w:t xml:space="preserve">Внутренние стены — несущие сборные железобетонные панели толщиной 160мм,установленные на ряд бетонных блоков подвала. </w:t>
      </w:r>
    </w:p>
    <w:p>
      <w:pPr>
        <w:pStyle w:val="Normal"/>
        <w:ind w:right="-1" w:firstLine="709"/>
        <w:rPr/>
      </w:pPr>
      <w:r>
        <w:rPr/>
        <w:t xml:space="preserve">Фундамент — монолитные железобетонные плиты ПМ1 (секции 1,2), Пм2 (секции 3...5). </w:t>
      </w:r>
    </w:p>
    <w:p>
      <w:pPr>
        <w:pStyle w:val="Normal"/>
        <w:ind w:right="-1" w:firstLine="709"/>
        <w:rPr/>
      </w:pPr>
      <w:r>
        <w:rPr/>
        <w:t>Материал фундаментных плит — бетон кл.В25, F150, W6.</w:t>
      </w:r>
    </w:p>
    <w:p>
      <w:pPr>
        <w:pStyle w:val="Normal"/>
        <w:widowControl/>
        <w:spacing w:beforeAutospacing="1" w:after="0"/>
        <w:ind w:right="-1" w:firstLine="709"/>
        <w:rPr>
          <w:rFonts w:eastAsia="Times New Roman"/>
          <w:i/>
          <w:i/>
        </w:rPr>
      </w:pPr>
      <w:r>
        <w:rPr>
          <w:rFonts w:eastAsia="Times New Roman"/>
          <w:i/>
        </w:rPr>
        <w:t>Описание и обоснование принятых объемно-планировочных решений зданий и сооружений объекта капитального строительства.</w:t>
      </w:r>
    </w:p>
    <w:p>
      <w:pPr>
        <w:pStyle w:val="Normal"/>
        <w:ind w:right="-1" w:firstLine="709"/>
        <w:rPr/>
      </w:pPr>
      <w:r>
        <w:rPr/>
        <w:t>Секции включают в себя:</w:t>
      </w:r>
    </w:p>
    <w:p>
      <w:pPr>
        <w:pStyle w:val="Normal"/>
        <w:ind w:right="-1" w:firstLine="709"/>
        <w:rPr/>
      </w:pPr>
      <w:r>
        <w:rPr/>
        <w:t xml:space="preserve">• </w:t>
      </w:r>
      <w:r>
        <w:rPr/>
        <w:t>подвал;</w:t>
      </w:r>
    </w:p>
    <w:p>
      <w:pPr>
        <w:pStyle w:val="Normal"/>
        <w:ind w:right="-1" w:firstLine="709"/>
        <w:rPr/>
      </w:pPr>
      <w:r>
        <w:rPr/>
        <w:t xml:space="preserve">• </w:t>
      </w:r>
      <w:r>
        <w:rPr/>
        <w:t>1 и 2-х и 3-х комнатные квартиры, расположенные со 1-го по 9-й этажи;</w:t>
      </w:r>
    </w:p>
    <w:p>
      <w:pPr>
        <w:pStyle w:val="Normal"/>
        <w:ind w:right="-1" w:firstLine="709"/>
        <w:rPr/>
      </w:pPr>
      <w:r>
        <w:rPr/>
        <w:t xml:space="preserve">• </w:t>
      </w:r>
      <w:r>
        <w:rPr/>
        <w:t>технический чердак.</w:t>
      </w:r>
    </w:p>
    <w:p>
      <w:pPr>
        <w:pStyle w:val="Normal"/>
        <w:ind w:right="-1" w:firstLine="709"/>
        <w:rPr/>
      </w:pPr>
      <w:r>
        <w:rPr/>
        <w:t>На 1-м этаже секции 3 расположен сквозной проход.</w:t>
      </w:r>
    </w:p>
    <w:p>
      <w:pPr>
        <w:pStyle w:val="Normal"/>
        <w:ind w:right="-1" w:firstLine="709"/>
        <w:rPr/>
      </w:pPr>
      <w:r>
        <w:rPr/>
        <w:t>Лестнично-лифтовый блок объединяет лестничную клетку (тип Л1) с лифтом и мусоропроводом, расположен по центру каждой секции и отделен от внеквартирных коридоров жилой части железобетонными перегородками.</w:t>
      </w:r>
    </w:p>
    <w:p>
      <w:pPr>
        <w:pStyle w:val="Normal"/>
        <w:ind w:right="-1" w:firstLine="709"/>
        <w:rPr/>
      </w:pPr>
      <w:r>
        <w:rPr/>
        <w:t>Лестничная клетка типа Л1.</w:t>
      </w:r>
    </w:p>
    <w:p>
      <w:pPr>
        <w:pStyle w:val="Normal"/>
        <w:ind w:right="-1" w:firstLine="709"/>
        <w:rPr/>
      </w:pPr>
      <w:r>
        <w:rPr/>
        <w:t>Лифт - пассажирский грузоподъемностью 1000 кг. Скорость подъема лифта 1,0 м/сек.</w:t>
      </w:r>
    </w:p>
    <w:p>
      <w:pPr>
        <w:pStyle w:val="Normal"/>
        <w:ind w:right="-1" w:firstLine="709"/>
        <w:rPr/>
      </w:pPr>
      <w:r>
        <w:rPr/>
        <w:t>Ширина площадки перед лифтами — не менее 2,1 м при глубине кабины 2,1 м.</w:t>
      </w:r>
    </w:p>
    <w:p>
      <w:pPr>
        <w:pStyle w:val="Normal"/>
        <w:ind w:right="-1" w:firstLine="709"/>
        <w:rPr/>
      </w:pPr>
      <w:r>
        <w:rPr/>
        <w:t>Жилой дом оборудован мусоропроводом. Мусоро-сборная камера имеет самостоятельный вход, изолированный от входа в здание.</w:t>
      </w:r>
    </w:p>
    <w:p>
      <w:pPr>
        <w:pStyle w:val="Normal"/>
        <w:ind w:right="-1" w:firstLine="709"/>
        <w:rPr/>
      </w:pPr>
      <w:r>
        <w:rPr/>
        <w:t>Внеквартирный коридор шириной 1,64 м и длиной до 25 м ведет к квартирам.</w:t>
      </w:r>
    </w:p>
    <w:p>
      <w:pPr>
        <w:pStyle w:val="Normal"/>
        <w:ind w:right="-1" w:firstLine="709"/>
        <w:rPr/>
      </w:pPr>
      <w:r>
        <w:rPr/>
        <w:t>В каждой квартире, расположенной на высоте более 15м, предусмотрены аварийные выходы на лоджию с глухим простенком размером 1,2м от торца лоджии до оконного проема либо с пожарным люком и стремянкой (секция 4).</w:t>
      </w:r>
    </w:p>
    <w:p>
      <w:pPr>
        <w:pStyle w:val="Normal"/>
        <w:ind w:right="-1" w:firstLine="709"/>
        <w:rPr/>
      </w:pPr>
      <w:r>
        <w:rPr/>
        <w:t>Выход на кровлю предусмотрен непосредственно из лестничной клетки.</w:t>
      </w:r>
    </w:p>
    <w:p>
      <w:pPr>
        <w:pStyle w:val="Normal"/>
        <w:ind w:right="-1" w:firstLine="709"/>
        <w:rPr/>
      </w:pPr>
      <w:r>
        <w:rPr/>
        <w:t>Кладовая уборочного инвентаря жилой части расположена на первом этаже секции 3 и оборудована раковиной и поддоном.</w:t>
      </w:r>
    </w:p>
    <w:p>
      <w:pPr>
        <w:pStyle w:val="Normal"/>
        <w:ind w:right="-1" w:firstLine="709"/>
        <w:rPr/>
      </w:pPr>
      <w:r>
        <w:rPr/>
        <w:t>Чердак здания – теплый, обогреваемый воздухом вытяжной вентиляции. Воздух из вентканалов объединяется в пространстве чердака и выводится наружу через дефлекторы.</w:t>
      </w:r>
    </w:p>
    <w:p>
      <w:pPr>
        <w:pStyle w:val="Normal"/>
        <w:ind w:right="-1" w:firstLine="709"/>
        <w:rPr/>
      </w:pPr>
      <w:r>
        <w:rPr/>
        <w:t xml:space="preserve">Подвал предназначен для прокладки инженерных коммуникаций и размещения технических помещений (электрощитовые, ИТП, водомерный узел). </w:t>
      </w:r>
    </w:p>
    <w:p>
      <w:pPr>
        <w:pStyle w:val="Normal"/>
        <w:ind w:right="-1" w:firstLine="709"/>
        <w:rPr/>
      </w:pPr>
      <w:r>
        <w:rPr/>
      </w:r>
    </w:p>
    <w:p>
      <w:pPr>
        <w:pStyle w:val="Normal"/>
        <w:ind w:right="-1" w:firstLine="709"/>
        <w:rPr>
          <w:i/>
          <w:i/>
        </w:rPr>
      </w:pPr>
      <w:r>
        <w:rPr>
          <w:i/>
        </w:rPr>
        <w:t>Обоснование проектных решений и мероприятий, обеспечивающих соблюдение требуемых теплозащитных характеристик ограждающих конструкций; снижение шума и вибраций; гидроизоляцию и пароизоляцию помещений; снижение загазованности помещений; удаление избытков тепла; соблюдение безопасного уровня электромагнитных и иных излучений, соблюдение санитарно-гигиенических условий; пожарную безопасность.</w:t>
      </w:r>
    </w:p>
    <w:p>
      <w:pPr>
        <w:pStyle w:val="Normal"/>
        <w:ind w:right="-1" w:firstLine="709"/>
        <w:rPr>
          <w:i/>
          <w:i/>
        </w:rPr>
      </w:pPr>
      <w:r>
        <w:rPr>
          <w:i/>
        </w:rPr>
      </w:r>
    </w:p>
    <w:p>
      <w:pPr>
        <w:pStyle w:val="Normal"/>
        <w:ind w:right="-1" w:firstLine="709"/>
        <w:rPr/>
      </w:pPr>
      <w:r>
        <w:rPr/>
        <w:t>На основании требований СНиП 23-02-2003 «Тепловая защита зданий», СП 23-101-2004 «Проектирование тепловой защиты зданий», СНиП 23-01-99 «Строительная климатология» и ГОСТ 30494-96 «Здания жилые и общественные. Параметры микроклимата в помещениях» в проекте предусмотрена следующая тепловая защита:</w:t>
      </w:r>
    </w:p>
    <w:p>
      <w:pPr>
        <w:pStyle w:val="Normal"/>
        <w:ind w:right="-1" w:firstLine="709"/>
        <w:rPr/>
      </w:pPr>
      <w:r>
        <w:rPr/>
        <w:t>- наружные стены ниже отметки 0,000 — трехслойные стеновые панели толщиной 350мм из тяжелого бетона с внутренним слоем утеплителя из пенополистирола ПСБ-С.</w:t>
      </w:r>
    </w:p>
    <w:p>
      <w:pPr>
        <w:pStyle w:val="Normal"/>
        <w:ind w:right="-1" w:firstLine="709"/>
        <w:rPr/>
      </w:pPr>
      <w:r>
        <w:rPr/>
        <w:t>- наружные стены выше отметки 0,000 — трехслойные стеновые панели толщиной 400мм из керамзитобетона с внутренним слоем утеплителя из пенополистирола ПСБ-С.</w:t>
      </w:r>
    </w:p>
    <w:p>
      <w:pPr>
        <w:pStyle w:val="Normal"/>
        <w:ind w:right="-1" w:firstLine="709"/>
        <w:rPr/>
      </w:pPr>
      <w:r>
        <w:rPr/>
        <w:t>- фасад здания - фасадная штукатурная система по выравнивающему слою «Изол-ФШ» толщиной 50мм.</w:t>
      </w:r>
    </w:p>
    <w:p>
      <w:pPr>
        <w:pStyle w:val="Normal"/>
        <w:ind w:right="-1" w:firstLine="709"/>
        <w:rPr/>
      </w:pPr>
      <w:r>
        <w:rPr/>
        <w:t>- кровля — утеплитель — керамзитовый гравий Y=600 кг/м3, толщина минимальная — 180мм;</w:t>
      </w:r>
    </w:p>
    <w:p>
      <w:pPr>
        <w:pStyle w:val="Normal"/>
        <w:ind w:right="-1" w:firstLine="709"/>
        <w:rPr/>
      </w:pPr>
      <w:r>
        <w:rPr/>
        <w:t>- окна и балконные двери жилых помещений, кухонь и лестничной клетки в ПВХ переплетах с двухкамерными стеклопакетами.</w:t>
      </w:r>
    </w:p>
    <w:p>
      <w:pPr>
        <w:pStyle w:val="Normal"/>
        <w:ind w:right="-1" w:firstLine="709"/>
        <w:rPr/>
      </w:pPr>
      <w:r>
        <w:rPr/>
        <w:t xml:space="preserve">Гидроизоляция стен подвала соприкасающихся с грунтом — обмазка горячим битумом всех вертикальных поверхностей за 2 раза. </w:t>
      </w:r>
    </w:p>
    <w:p>
      <w:pPr>
        <w:pStyle w:val="Normal"/>
        <w:ind w:right="-1" w:firstLine="709"/>
        <w:rPr/>
      </w:pPr>
      <w:r>
        <w:rPr/>
        <w:t>Горизонтальная гидроизоляция - в уровне верха фундаментной плиты по всем стенам цементно-песчаный раствор состав 1:2 толщиной 20 мм.</w:t>
      </w:r>
    </w:p>
    <w:p>
      <w:pPr>
        <w:pStyle w:val="Normal"/>
        <w:ind w:right="-1" w:firstLine="709"/>
        <w:rPr/>
      </w:pPr>
      <w:r>
        <w:rPr/>
        <w:t xml:space="preserve">Гидроизоляция кровли — один слой Техноэласта ЭКП по слою Техноэласт ЭПП. </w:t>
      </w:r>
    </w:p>
    <w:p>
      <w:pPr>
        <w:pStyle w:val="Normal"/>
        <w:ind w:right="-1" w:firstLine="709"/>
        <w:rPr/>
      </w:pPr>
      <w:r>
        <w:rPr/>
        <w:t>Пароизоляция кровли — Бикрост ХПП.</w:t>
      </w:r>
    </w:p>
    <w:p>
      <w:pPr>
        <w:pStyle w:val="Normal"/>
        <w:ind w:right="-1" w:firstLine="709"/>
        <w:rPr/>
      </w:pPr>
      <w:r>
        <w:rPr/>
      </w:r>
    </w:p>
    <w:p>
      <w:pPr>
        <w:pStyle w:val="Normal"/>
        <w:ind w:right="-1" w:firstLine="709"/>
        <w:rPr/>
      </w:pPr>
      <w:r>
        <w:rPr/>
        <w:t>Противопожарная защита объекта достигается:</w:t>
      </w:r>
    </w:p>
    <w:p>
      <w:pPr>
        <w:pStyle w:val="Normal"/>
        <w:ind w:right="-1" w:firstLine="709"/>
        <w:rPr/>
      </w:pPr>
      <w:r>
        <w:rPr/>
        <w:t>- объемно-планировочными и конструктивными решениями;</w:t>
      </w:r>
    </w:p>
    <w:p>
      <w:pPr>
        <w:pStyle w:val="Normal"/>
        <w:ind w:right="-1" w:firstLine="709"/>
        <w:rPr/>
      </w:pPr>
      <w:r>
        <w:rPr/>
        <w:t>- регламентацией огнестойкости и пожарной опасности строительных конструкций и отделочных материалов.</w:t>
      </w:r>
    </w:p>
    <w:p>
      <w:pPr>
        <w:pStyle w:val="Normal"/>
        <w:ind w:right="-1" w:firstLine="709"/>
        <w:rPr/>
      </w:pPr>
      <w:r>
        <w:rPr/>
        <w:t>Все конструкции здания соответствуют нормативным пределам огнестойкости и обеспечивают II степень огнестойкости.</w:t>
      </w:r>
    </w:p>
    <w:p>
      <w:pPr>
        <w:pStyle w:val="Normal"/>
        <w:ind w:right="-1" w:firstLine="709"/>
        <w:rPr/>
      </w:pPr>
      <w:r>
        <w:rPr/>
        <w:t>Лестнично-лифтовой блок объединяет лестничную клетку типа Л1 с лифтом.</w:t>
      </w:r>
    </w:p>
    <w:p>
      <w:pPr>
        <w:pStyle w:val="Normal"/>
        <w:ind w:right="-1" w:firstLine="709"/>
        <w:rPr/>
      </w:pPr>
      <w:r>
        <w:rPr/>
        <w:t>Лестнично-лифтовый блок отделен от общих коридоров жилой части железобетонными панелями толщиной 160 мм.</w:t>
      </w:r>
    </w:p>
    <w:p>
      <w:pPr>
        <w:pStyle w:val="Normal"/>
        <w:ind w:right="-1" w:firstLine="709"/>
        <w:rPr/>
      </w:pPr>
      <w:r>
        <w:rPr/>
        <w:t xml:space="preserve">Лестничная клетка имеет естественное освещение через оконные проёмы площадью не менее 1,2 м2 .Зазор между поручнем ограждений марша и шахтой лифта&gt;75мм для свободного прохождения пожарного рукава. </w:t>
      </w:r>
    </w:p>
    <w:p>
      <w:pPr>
        <w:pStyle w:val="Normal"/>
        <w:ind w:right="-1" w:firstLine="709"/>
        <w:rPr/>
      </w:pPr>
      <w:r>
        <w:rPr/>
        <w:t>Шахта лифта — выделена железобетонными объемными элементами с толщиной стенок 120 мм и пределом огнестойкости REI 90 с заполнением дверного проема противопожарными дверями.</w:t>
      </w:r>
    </w:p>
    <w:p>
      <w:pPr>
        <w:pStyle w:val="Normal"/>
        <w:ind w:right="-1" w:firstLine="709"/>
        <w:rPr/>
      </w:pPr>
      <w:r>
        <w:rPr/>
        <w:t>Мусоросборная камера имеет самостоятельный вход, перекрытый козырьком и изолированный кирпичными перегородками от входа в жилое здание.</w:t>
      </w:r>
    </w:p>
    <w:p>
      <w:pPr>
        <w:pStyle w:val="Normal"/>
        <w:ind w:right="-1" w:firstLine="709"/>
        <w:rPr/>
      </w:pPr>
      <w:r>
        <w:rPr/>
        <w:t>Мусоросборная камера в пределах жилого здания выделена противопожарными перегородками и перекрытием с пределами огнестойкости не менее REI 60 и классом пожарной опасности К0.</w:t>
      </w:r>
    </w:p>
    <w:p>
      <w:pPr>
        <w:pStyle w:val="Normal"/>
        <w:ind w:right="-1" w:firstLine="709"/>
        <w:rPr/>
      </w:pPr>
      <w:r>
        <w:rPr/>
        <w:t>Ствол мусоропровода – из асбестоцементных труб.</w:t>
      </w:r>
    </w:p>
    <w:p>
      <w:pPr>
        <w:pStyle w:val="Normal"/>
        <w:ind w:right="-1" w:firstLine="709"/>
        <w:rPr/>
      </w:pPr>
      <w:r>
        <w:rPr/>
        <w:t>Конструкция системы мусоропровода включает противопожарные устройства:</w:t>
      </w:r>
    </w:p>
    <w:p>
      <w:pPr>
        <w:pStyle w:val="Normal"/>
        <w:ind w:right="-1" w:firstLine="709"/>
        <w:rPr/>
      </w:pPr>
      <w:r>
        <w:rPr/>
        <w:t xml:space="preserve">• </w:t>
      </w:r>
      <w:r>
        <w:rPr/>
        <w:t>Шибер — противопожарный клапан с приводом самозакрывания при пожаре;</w:t>
      </w:r>
    </w:p>
    <w:p>
      <w:pPr>
        <w:pStyle w:val="Normal"/>
        <w:ind w:right="-1" w:firstLine="709"/>
        <w:rPr/>
      </w:pPr>
      <w:r>
        <w:rPr/>
        <w:t xml:space="preserve">• </w:t>
      </w:r>
      <w:r>
        <w:rPr/>
        <w:t>Устройство очистки КОМ — сплинкерную систему пожаротушения;</w:t>
      </w:r>
    </w:p>
    <w:p>
      <w:pPr>
        <w:pStyle w:val="Normal"/>
        <w:ind w:right="-1" w:firstLine="709"/>
        <w:rPr/>
      </w:pPr>
      <w:r>
        <w:rPr/>
        <w:t xml:space="preserve">• </w:t>
      </w:r>
      <w:r>
        <w:rPr/>
        <w:t>Ствол мусоропровода изготавливается из негорючих материалов (асбестоцементныхе трубы со стыковкой на изолированных муфтах);</w:t>
      </w:r>
    </w:p>
    <w:p>
      <w:pPr>
        <w:pStyle w:val="Normal"/>
        <w:ind w:right="-1" w:firstLine="709"/>
        <w:rPr/>
      </w:pPr>
      <w:r>
        <w:rPr/>
        <w:t xml:space="preserve">• </w:t>
      </w:r>
      <w:r>
        <w:rPr/>
        <w:t>Клапаны мусоропровода выполнены с уплотнением в притворах;</w:t>
      </w:r>
    </w:p>
    <w:p>
      <w:pPr>
        <w:pStyle w:val="Normal"/>
        <w:ind w:right="-1" w:firstLine="709"/>
        <w:rPr/>
      </w:pPr>
      <w:r>
        <w:rPr/>
        <w:t>Мусоропровод оборудован системой автоматического пожаротушения.</w:t>
      </w:r>
    </w:p>
    <w:p>
      <w:pPr>
        <w:pStyle w:val="Normal"/>
        <w:ind w:right="-1" w:firstLine="709"/>
        <w:rPr/>
      </w:pPr>
      <w:r>
        <w:rPr/>
        <w:t>Выход на кровлю из лестничной клетки предусмотрен по стальной стремянке с уклоном 60° через противопожарную дверь.</w:t>
      </w:r>
    </w:p>
    <w:p>
      <w:pPr>
        <w:pStyle w:val="Normal"/>
        <w:ind w:right="-1" w:firstLine="709"/>
        <w:rPr/>
      </w:pPr>
      <w:r>
        <w:rPr/>
        <w:t>На перепаде высоты между основной кровлей и кровлей лестнично-лифтового блока предусмотрена стационарная вертикальная пожарная лестница-стремянка.</w:t>
      </w:r>
    </w:p>
    <w:p>
      <w:pPr>
        <w:pStyle w:val="Normal"/>
        <w:ind w:right="-1" w:firstLine="709"/>
        <w:rPr/>
      </w:pPr>
      <w:r>
        <w:rPr/>
        <w:t xml:space="preserve">Подвал не имеет сообщения с жилой частью здания и разделен на пожарные отсеки. Каждый пожарный отсек имеет выходы непосредственно наружу. </w:t>
      </w:r>
    </w:p>
    <w:p>
      <w:pPr>
        <w:pStyle w:val="Normal"/>
        <w:ind w:right="-1" w:firstLine="709"/>
        <w:rPr/>
      </w:pPr>
      <w:r>
        <w:rPr/>
        <w:t>Двери технических помещений подвала (ИТП, водомерного узла, электрощитовой, насосной) - противопожарные с пределом огнестойкости EI 30.</w:t>
      </w:r>
    </w:p>
    <w:p>
      <w:pPr>
        <w:pStyle w:val="Normal"/>
        <w:ind w:right="-1" w:firstLine="709"/>
        <w:rPr/>
      </w:pPr>
      <w:r>
        <w:rPr/>
        <w:t>Кровля - рулонная наплавляемая толщиной не более 8мм.</w:t>
      </w:r>
    </w:p>
    <w:p>
      <w:pPr>
        <w:pStyle w:val="Normal"/>
        <w:ind w:right="-1" w:firstLine="709"/>
        <w:rPr/>
      </w:pPr>
      <w:r>
        <w:rPr/>
        <w:t>На кровле по контуру парапета выполнено ограждение высотой 1,2м от уровня кровли.</w:t>
      </w:r>
    </w:p>
    <w:p>
      <w:pPr>
        <w:pStyle w:val="Normal"/>
        <w:ind w:right="-1" w:firstLine="709"/>
        <w:rPr/>
      </w:pPr>
      <w:r>
        <w:rPr/>
        <w:t>Для защиты от технического шума производственного оборудования электрощитовой, ИТП и водомерного узла, расположенных в подвале, выполнена звукоизоляция потолка.</w:t>
      </w:r>
    </w:p>
    <w:p>
      <w:pPr>
        <w:pStyle w:val="Normal"/>
        <w:ind w:right="-1" w:firstLine="709"/>
        <w:rPr/>
      </w:pPr>
      <w:r>
        <w:rPr/>
        <w:t>Оконные и дверные блоки жилых помещений обеспечивают звукоизоляцию от уличного шума.</w:t>
      </w:r>
    </w:p>
    <w:p>
      <w:pPr>
        <w:pStyle w:val="Normal"/>
        <w:ind w:right="-1" w:firstLine="709"/>
        <w:rPr/>
      </w:pPr>
      <w:r>
        <w:rPr/>
        <w:t>Состав полов и примыкания к стенам предусматривают межэтажную звукоизоляцию.</w:t>
      </w:r>
    </w:p>
    <w:p>
      <w:pPr>
        <w:pStyle w:val="Normal"/>
        <w:ind w:right="-1" w:firstLine="709"/>
        <w:rPr/>
      </w:pPr>
      <w:r>
        <w:rPr/>
        <w:t xml:space="preserve">Загазованность помещений и опасный уровень электромагнитных и иных излучений отсутствуют. </w:t>
      </w:r>
    </w:p>
    <w:p>
      <w:pPr>
        <w:pStyle w:val="Normal"/>
        <w:ind w:right="-1" w:firstLine="709"/>
        <w:rPr/>
      </w:pPr>
      <w:r>
        <w:rPr/>
        <w:t>Удаление избытков тепла не требуется.</w:t>
      </w:r>
    </w:p>
    <w:p>
      <w:pPr>
        <w:pStyle w:val="Normal"/>
        <w:widowControl/>
        <w:spacing w:beforeAutospacing="1" w:after="0"/>
        <w:ind w:right="-1" w:firstLine="709"/>
        <w:rPr>
          <w:rFonts w:eastAsia="Times New Roman"/>
          <w:i/>
          <w:i/>
        </w:rPr>
      </w:pPr>
      <w:r>
        <w:rPr>
          <w:rFonts w:eastAsia="Times New Roman"/>
          <w:i/>
        </w:rPr>
        <w:t>Характеристика и обоснование конструкций полов, кровли, подвесных потолков, перегородок, а также отделки помещений</w:t>
      </w:r>
    </w:p>
    <w:p>
      <w:pPr>
        <w:pStyle w:val="Normal"/>
        <w:ind w:right="-1" w:firstLine="709"/>
        <w:rPr/>
      </w:pPr>
      <w:r>
        <w:rPr/>
        <w:t>Перегородки межквартирные — сборные железобетонные панели толщиной 160мм, перегородки санузлов — сборные железобетонные панели толщиной 80мм.</w:t>
      </w:r>
    </w:p>
    <w:p>
      <w:pPr>
        <w:pStyle w:val="Normal"/>
        <w:ind w:right="-1" w:firstLine="709"/>
        <w:rPr/>
      </w:pPr>
      <w:r>
        <w:rPr/>
        <w:t>Конструкция кровли:</w:t>
      </w:r>
    </w:p>
    <w:p>
      <w:pPr>
        <w:pStyle w:val="Normal"/>
        <w:ind w:right="-1" w:firstLine="709"/>
        <w:rPr/>
      </w:pPr>
      <w:r>
        <w:rPr/>
        <w:t xml:space="preserve">• </w:t>
      </w:r>
      <w:r>
        <w:rPr/>
        <w:t>1 слой Техноэласта ЭКП;</w:t>
      </w:r>
    </w:p>
    <w:p>
      <w:pPr>
        <w:pStyle w:val="Normal"/>
        <w:ind w:right="-1" w:firstLine="709"/>
        <w:rPr/>
      </w:pPr>
      <w:r>
        <w:rPr/>
        <w:t xml:space="preserve">• </w:t>
      </w:r>
      <w:r>
        <w:rPr/>
        <w:t>1 слой Техноэласта ЭПП;</w:t>
      </w:r>
    </w:p>
    <w:p>
      <w:pPr>
        <w:pStyle w:val="Normal"/>
        <w:ind w:right="-1" w:firstLine="709"/>
        <w:rPr/>
      </w:pPr>
      <w:r>
        <w:rPr/>
        <w:t xml:space="preserve">• </w:t>
      </w:r>
      <w:r>
        <w:rPr/>
        <w:t>Плоские хризоцил-цементные прессованные листы толщиной 10мм Y=1800 кг/м3, уложенные в 2 слоя "вразбежку" и со смещением слоев</w:t>
      </w:r>
    </w:p>
    <w:p>
      <w:pPr>
        <w:pStyle w:val="Normal"/>
        <w:ind w:right="-1" w:firstLine="709"/>
        <w:rPr/>
      </w:pPr>
      <w:r>
        <w:rPr/>
        <w:t xml:space="preserve">• </w:t>
      </w:r>
      <w:r>
        <w:rPr/>
        <w:t>керамзитовый гравий Y=600кг/м3 по уклону hmin = 180мм;</w:t>
      </w:r>
    </w:p>
    <w:p>
      <w:pPr>
        <w:pStyle w:val="Normal"/>
        <w:ind w:right="-1" w:firstLine="709"/>
        <w:rPr/>
      </w:pPr>
      <w:r>
        <w:rPr/>
        <w:t xml:space="preserve">• </w:t>
      </w:r>
      <w:r>
        <w:rPr/>
        <w:t>Пароизоляция - полиэтиленовая пленка толщиной 200 мкм;</w:t>
      </w:r>
    </w:p>
    <w:p>
      <w:pPr>
        <w:pStyle w:val="Normal"/>
        <w:ind w:right="-1" w:firstLine="709"/>
        <w:rPr/>
      </w:pPr>
      <w:r>
        <w:rPr/>
        <w:t xml:space="preserve">• </w:t>
      </w:r>
      <w:r>
        <w:rPr/>
        <w:t>ж/б многопустотная плита перекрытия 220мм.</w:t>
      </w:r>
    </w:p>
    <w:p>
      <w:pPr>
        <w:pStyle w:val="Normal"/>
        <w:ind w:right="-1" w:firstLine="709"/>
        <w:rPr/>
      </w:pPr>
      <w:r>
        <w:rPr/>
        <w:t>Стены внеквартирных коридоров, лестнично-лифтового блока — окраска водоэмульсионной краской.</w:t>
      </w:r>
    </w:p>
    <w:p>
      <w:pPr>
        <w:pStyle w:val="Normal"/>
        <w:ind w:right="-1" w:firstLine="709"/>
        <w:rPr/>
      </w:pPr>
      <w:r>
        <w:rPr/>
        <w:t>Потолки всех помещений с отм.0.000 - окраска водоэмульсионной краской.</w:t>
      </w:r>
    </w:p>
    <w:p>
      <w:pPr>
        <w:pStyle w:val="Normal"/>
        <w:ind w:right="-1" w:firstLine="709"/>
        <w:rPr/>
      </w:pPr>
      <w:r>
        <w:rPr/>
        <w:t>Отделка стен и потолков технических помещений, расположенных в техподполье,- известковая побелка</w:t>
      </w:r>
    </w:p>
    <w:p>
      <w:pPr>
        <w:pStyle w:val="Normal"/>
        <w:ind w:right="-1" w:firstLine="709"/>
        <w:rPr/>
      </w:pPr>
      <w:r>
        <w:rPr/>
        <w:t>Полы:</w:t>
      </w:r>
    </w:p>
    <w:p>
      <w:pPr>
        <w:pStyle w:val="Normal"/>
        <w:ind w:right="-1" w:firstLine="709"/>
        <w:rPr/>
      </w:pPr>
      <w:r>
        <w:rPr/>
        <w:t>во внеквартирных коридорах, технических помещениях — керамическая плитка с шероховатой поверхностью.</w:t>
      </w:r>
    </w:p>
    <w:p>
      <w:pPr>
        <w:pStyle w:val="Normal"/>
        <w:widowControl/>
        <w:spacing w:beforeAutospacing="1" w:after="0"/>
        <w:ind w:right="-1" w:firstLine="709"/>
        <w:rPr>
          <w:rFonts w:eastAsia="Times New Roman"/>
          <w:i/>
          <w:i/>
        </w:rPr>
      </w:pPr>
      <w:r>
        <w:rPr>
          <w:rFonts w:eastAsia="Times New Roman"/>
          <w:i/>
        </w:rPr>
        <w:t>Перечень мероприятий по защите строительных конструкций и фундаментов от разрушения.</w:t>
      </w:r>
    </w:p>
    <w:p>
      <w:pPr>
        <w:pStyle w:val="Normal"/>
        <w:ind w:right="-1" w:firstLine="709"/>
        <w:rPr/>
      </w:pPr>
      <w:r>
        <w:rPr/>
        <w:t>Металлические конструкции, сварные швы, закладные и соединительные изделия защищаются окрашиванием эмалью ПФ-115 по ГОСТ6465-76 за два раза по двум слоям грунта ГФ-021 по ГОСТ25129-82.</w:t>
      </w:r>
    </w:p>
    <w:p>
      <w:pPr>
        <w:pStyle w:val="Normal"/>
        <w:ind w:right="-1" w:firstLine="709"/>
        <w:rPr/>
      </w:pPr>
      <w:r>
        <w:rPr/>
        <w:t>Для предохранения от разрушения подземных частей зданий для подземных конструкций приняты марки бетона  морозостойкости F150, по водонепроницаемости W6 (кроме бетонной подготовки). Поверхности подземных частей зданий, соприкасающиеся с грунтом, обмазываются битумной мастикой по грунтовке праймером.</w:t>
      </w:r>
    </w:p>
    <w:p>
      <w:pPr>
        <w:pStyle w:val="Normal"/>
        <w:ind w:right="-1" w:firstLine="709"/>
        <w:rPr/>
      </w:pPr>
      <w:r>
        <w:rPr/>
        <w:t xml:space="preserve">Заделка проёмов в стенах подвала предусмотрена из кирпича марки КР-р-по 250х120х65/1НФ/100/2,0/50/ГОСТ 530-2012 на цем.-песчаном растворе М100, </w:t>
      </w:r>
      <w:r>
        <w:rPr>
          <w:lang w:val="en-US"/>
        </w:rPr>
        <w:t>F</w:t>
      </w:r>
      <w:r>
        <w:rPr/>
        <w:t>50.</w:t>
      </w:r>
    </w:p>
    <w:p>
      <w:pPr>
        <w:pStyle w:val="Normal"/>
        <w:ind w:right="-1" w:firstLine="709"/>
        <w:rPr/>
      </w:pPr>
      <w:r>
        <w:rPr/>
        <w:t xml:space="preserve">Характеристики бетона цокольных панелей — В15; F150; W6. </w:t>
      </w:r>
    </w:p>
    <w:p>
      <w:pPr>
        <w:pStyle w:val="Normal"/>
        <w:widowControl/>
        <w:spacing w:beforeAutospacing="1" w:after="0"/>
        <w:ind w:right="-1" w:firstLine="709"/>
        <w:rPr>
          <w:rFonts w:eastAsia="Times New Roman"/>
          <w:i/>
          <w:i/>
        </w:rPr>
      </w:pPr>
      <w:r>
        <w:rPr>
          <w:rFonts w:eastAsia="Times New Roman"/>
          <w:i/>
        </w:rPr>
        <w:t>Описание инженерных решений и сооружений, обеспечивающих защиту территории объекта капитального строительства, отдельных зданий и сооружений объекта капитального строительства, а также персонала и жителей от опасных природных и техногенных процессов</w:t>
      </w:r>
    </w:p>
    <w:p>
      <w:pPr>
        <w:pStyle w:val="Normal"/>
        <w:ind w:right="-1" w:firstLine="709"/>
        <w:rPr/>
      </w:pPr>
      <w:r>
        <w:rPr/>
        <w:t>Соблюдение всех действующих норм, правил, конструктивных и объемно-планировочных решений обеспечивает защиту персонала и жителей от опасных природных и техногенных процессов.</w:t>
      </w:r>
    </w:p>
    <w:p>
      <w:pPr>
        <w:pStyle w:val="Normal"/>
        <w:widowControl/>
        <w:spacing w:beforeAutospacing="1" w:after="0"/>
        <w:ind w:right="-1" w:firstLine="709"/>
        <w:jc w:val="left"/>
        <w:rPr>
          <w:rFonts w:eastAsia="Times New Roman"/>
          <w:b/>
          <w:b/>
        </w:rPr>
      </w:pPr>
      <w:r>
        <w:rPr>
          <w:rFonts w:eastAsia="Times New Roman"/>
          <w:b/>
          <w:bCs/>
        </w:rPr>
        <w:t>2 этап строительства.</w:t>
      </w:r>
    </w:p>
    <w:p>
      <w:pPr>
        <w:pStyle w:val="Normal"/>
        <w:ind w:right="-1" w:firstLine="709"/>
        <w:rPr/>
      </w:pPr>
      <w:r>
        <w:rPr/>
        <w:t>Две 10-ти этажные (включая технический чердак) блок-секции — 6-я и 7-я и одна 17-ти этажная (включая технический чердак) блок-секция — 8-я, сблокированные между собой и соединенные с 1-ой секцией 3-х этажным зданием с нежилыми помещениями (офисами).</w:t>
      </w:r>
    </w:p>
    <w:p>
      <w:pPr>
        <w:pStyle w:val="Normal"/>
        <w:ind w:right="-1" w:firstLine="709"/>
        <w:rPr/>
      </w:pPr>
      <w:r>
        <w:rPr/>
        <w:t>6-я секция с размерами в плане в осях - 28,8 х 16,8м;</w:t>
      </w:r>
    </w:p>
    <w:p>
      <w:pPr>
        <w:pStyle w:val="Normal"/>
        <w:ind w:right="-1" w:firstLine="709"/>
        <w:rPr/>
      </w:pPr>
      <w:r>
        <w:rPr/>
        <w:t>7-я секция с размерами в плане в осях - 28,8 х 16,8м;</w:t>
      </w:r>
    </w:p>
    <w:p>
      <w:pPr>
        <w:pStyle w:val="Normal"/>
        <w:ind w:right="-1" w:firstLine="709"/>
        <w:rPr/>
      </w:pPr>
      <w:r>
        <w:rPr/>
        <w:t>8-я секция с размерами в плане в осях — 26,4 х 19,5 (12,3)м</w:t>
      </w:r>
    </w:p>
    <w:p>
      <w:pPr>
        <w:pStyle w:val="Normal"/>
        <w:ind w:right="-1" w:firstLine="709"/>
        <w:rPr/>
      </w:pPr>
      <w:r>
        <w:rPr/>
        <w:t>Конструктивная схема здания — сборный железобетонный каркас с несущими наружными и внутренними стеновыми панелями.</w:t>
      </w:r>
    </w:p>
    <w:p>
      <w:pPr>
        <w:pStyle w:val="Normal"/>
        <w:ind w:right="-1" w:firstLine="709"/>
        <w:rPr/>
      </w:pPr>
      <w:r>
        <w:rPr/>
        <w:t>Пространственная жесткость обеспечивается совместной работой продольных и поперечных стен, объединенных жестким диском перекрытия.</w:t>
      </w:r>
    </w:p>
    <w:p>
      <w:pPr>
        <w:pStyle w:val="Normal"/>
        <w:ind w:right="-1" w:firstLine="709"/>
        <w:rPr/>
      </w:pPr>
      <w:r>
        <w:rPr/>
        <w:t>Уровень ответственности здания — II</w:t>
      </w:r>
    </w:p>
    <w:p>
      <w:pPr>
        <w:pStyle w:val="Normal"/>
        <w:ind w:right="-1" w:firstLine="709"/>
        <w:rPr/>
      </w:pPr>
      <w:r>
        <w:rPr/>
        <w:t>Степень огнестойкости здания — II.</w:t>
      </w:r>
    </w:p>
    <w:p>
      <w:pPr>
        <w:pStyle w:val="Normal"/>
        <w:ind w:right="-1" w:firstLine="709"/>
        <w:rPr/>
      </w:pPr>
      <w:r>
        <w:rPr/>
        <w:t>Класс функциональной пожарной опасности жилых секций — Ф1.3, для офисных помещений на 1-м этаже 8-ой секции и 3-х этажного здания с нежилыми помещениями (офисами) — Ф4.3</w:t>
      </w:r>
    </w:p>
    <w:p>
      <w:pPr>
        <w:pStyle w:val="Normal"/>
        <w:ind w:right="-1" w:firstLine="709"/>
        <w:rPr/>
      </w:pPr>
      <w:r>
        <w:rPr/>
        <w:t>Класс конструктивной пожарной опасности жилых секций 6,7 и 3-х этажного монолитного здания нежилых помещений (офисов) — С1;</w:t>
      </w:r>
    </w:p>
    <w:p>
      <w:pPr>
        <w:pStyle w:val="Normal"/>
        <w:ind w:right="-1" w:firstLine="709"/>
        <w:rPr/>
      </w:pPr>
      <w:r>
        <w:rPr/>
        <w:t>жилой секции 8 — СО;</w:t>
      </w:r>
    </w:p>
    <w:p>
      <w:pPr>
        <w:pStyle w:val="Normal"/>
        <w:ind w:right="-1" w:firstLine="709"/>
        <w:rPr/>
      </w:pPr>
      <w:r>
        <w:rPr/>
        <w:t>Класс пожарной опасности строительных конструкций — К1;</w:t>
      </w:r>
    </w:p>
    <w:p>
      <w:pPr>
        <w:pStyle w:val="Normal"/>
        <w:ind w:right="-1" w:firstLine="709"/>
        <w:rPr/>
      </w:pPr>
      <w:r>
        <w:rPr/>
        <w:t>Класс пожарной опасности строительных материалов — КМ1;</w:t>
      </w:r>
    </w:p>
    <w:p>
      <w:pPr>
        <w:pStyle w:val="Normal"/>
        <w:ind w:right="-1" w:firstLine="709"/>
        <w:rPr/>
      </w:pPr>
      <w:r>
        <w:rPr/>
        <w:t>Высота здания от поверхности проезда пожарной техники до нижней границы окна верхнего этажа составляет менее 50м;</w:t>
      </w:r>
    </w:p>
    <w:p>
      <w:pPr>
        <w:pStyle w:val="Normal"/>
        <w:ind w:right="-1" w:firstLine="709"/>
        <w:rPr/>
      </w:pPr>
      <w:r>
        <w:rPr/>
        <w:t>Общая площадь квартир на этаже до 500 м;</w:t>
      </w:r>
    </w:p>
    <w:p>
      <w:pPr>
        <w:pStyle w:val="Normal"/>
        <w:ind w:right="-1" w:firstLine="709"/>
        <w:rPr/>
      </w:pPr>
      <w:r>
        <w:rPr/>
        <w:t>Расчетная зимняя температура воздуха -30 °С;</w:t>
      </w:r>
    </w:p>
    <w:p>
      <w:pPr>
        <w:pStyle w:val="Normal"/>
        <w:ind w:right="-1" w:firstLine="709"/>
        <w:rPr/>
      </w:pPr>
      <w:r>
        <w:rPr/>
        <w:t>Расчетное значение веса снегового покрова на 1м2 горизонтальной поверхности земли для IV снегового района территории РФ — 2,4 кПа;</w:t>
      </w:r>
    </w:p>
    <w:p>
      <w:pPr>
        <w:pStyle w:val="Normal"/>
        <w:ind w:right="-1" w:firstLine="709"/>
        <w:rPr/>
      </w:pPr>
      <w:r>
        <w:rPr/>
        <w:t>Нормативное значение ветрового давления для III ветрового района — 38 кПа;</w:t>
      </w:r>
    </w:p>
    <w:p>
      <w:pPr>
        <w:pStyle w:val="Normal"/>
        <w:ind w:right="-1" w:firstLine="709"/>
        <w:rPr/>
      </w:pPr>
      <w:r>
        <w:rPr/>
        <w:t>Нормативная глубина промерзания грунта — 1,6м.</w:t>
      </w:r>
    </w:p>
    <w:p>
      <w:pPr>
        <w:pStyle w:val="Normal"/>
        <w:ind w:right="-1" w:firstLine="709"/>
        <w:rPr/>
      </w:pPr>
      <w:r>
        <w:rPr/>
      </w:r>
    </w:p>
    <w:p>
      <w:pPr>
        <w:pStyle w:val="Normal"/>
        <w:ind w:right="-1" w:firstLine="709"/>
        <w:rPr>
          <w:i/>
          <w:i/>
        </w:rPr>
      </w:pPr>
      <w:r>
        <w:rPr>
          <w:i/>
        </w:rPr>
        <w:t>Описание и обоснование конструктивных решений зданий и сооружений, включая их пространственные схемы, принятые при выполнении расчетов строительных конструкций.</w:t>
      </w:r>
    </w:p>
    <w:p>
      <w:pPr>
        <w:pStyle w:val="Normal"/>
        <w:widowControl/>
        <w:spacing w:beforeAutospacing="1" w:after="0"/>
        <w:ind w:right="-1" w:firstLine="709"/>
        <w:jc w:val="left"/>
        <w:rPr>
          <w:rFonts w:eastAsia="Times New Roman"/>
          <w:b/>
          <w:b/>
        </w:rPr>
      </w:pPr>
      <w:r>
        <w:rPr>
          <w:rFonts w:eastAsia="Times New Roman"/>
          <w:b/>
        </w:rPr>
        <w:t>Жилые секции</w:t>
      </w:r>
    </w:p>
    <w:p>
      <w:pPr>
        <w:pStyle w:val="Normal"/>
        <w:ind w:right="-1" w:firstLine="709"/>
        <w:rPr/>
      </w:pPr>
      <w:r>
        <w:rPr/>
        <w:t>Две 10-ти этажные (включая технический чердак) блок-секции — 6-я и 7-я и одна 17-ти этажная (включая технический чердак) блок-секция — 8-я, выполнены по серии 1.090.1-1/88(Тольяттинская). Завод-изготовитель ЗАО «Тольяттинский завод ЖБИ» г. Тольятти, сертификат соответствия № РОСС RU.СР48.С00227 (10-ти этажные секции) и № РОСС RU.СР48.С00232 (для 17-ти этажной секции).</w:t>
      </w:r>
    </w:p>
    <w:p>
      <w:pPr>
        <w:pStyle w:val="Normal"/>
        <w:ind w:right="-1" w:firstLine="709"/>
        <w:rPr/>
      </w:pPr>
      <w:r>
        <w:rPr/>
        <w:t>Конструктивная схема здания сборный железобетонный каркас с несущими наружными и внутренними стеновыми панелями.</w:t>
      </w:r>
    </w:p>
    <w:p>
      <w:pPr>
        <w:pStyle w:val="Normal"/>
        <w:ind w:right="-1" w:firstLine="709"/>
        <w:rPr/>
      </w:pPr>
      <w:r>
        <w:rPr/>
        <w:t>Пространственная жесткость здания обеспечена совместной работой продольных и поперечных стен объединённых жёстким диском перекрытия.</w:t>
      </w:r>
    </w:p>
    <w:p>
      <w:pPr>
        <w:pStyle w:val="Normal"/>
        <w:widowControl/>
        <w:spacing w:beforeAutospacing="1" w:after="0"/>
        <w:ind w:right="-1" w:firstLine="709"/>
        <w:jc w:val="left"/>
        <w:rPr>
          <w:rFonts w:eastAsia="Times New Roman"/>
          <w:b/>
          <w:b/>
        </w:rPr>
      </w:pPr>
      <w:r>
        <w:rPr>
          <w:rFonts w:eastAsia="Times New Roman"/>
          <w:b/>
        </w:rPr>
        <w:t>Монолитное здание с нежилыми помещениями (офисами)</w:t>
      </w:r>
    </w:p>
    <w:p>
      <w:pPr>
        <w:pStyle w:val="Normal"/>
        <w:ind w:right="-1" w:firstLine="709"/>
        <w:rPr/>
      </w:pPr>
      <w:r>
        <w:rPr/>
        <w:t>Конструктивная схема здания — жесткие монолитные рамы, раскрепленные балочным монолитным перекрытием. Соединения монолитных колонн с монолитным фундаментом — жесткие.</w:t>
      </w:r>
    </w:p>
    <w:p>
      <w:pPr>
        <w:pStyle w:val="Normal"/>
        <w:widowControl/>
        <w:spacing w:beforeAutospacing="1" w:after="0"/>
        <w:ind w:right="-1" w:firstLine="709"/>
        <w:jc w:val="left"/>
        <w:rPr>
          <w:rFonts w:eastAsia="Times New Roman"/>
        </w:rPr>
      </w:pPr>
      <w:r>
        <w:rPr>
          <w:rFonts w:eastAsia="Times New Roman"/>
        </w:rPr>
        <w:t>В проекте приняты следующие конструкции:</w:t>
      </w:r>
    </w:p>
    <w:p>
      <w:pPr>
        <w:pStyle w:val="Normal"/>
        <w:ind w:right="-1" w:firstLine="709"/>
        <w:rPr>
          <w:i/>
          <w:i/>
        </w:rPr>
      </w:pPr>
      <w:r>
        <w:rPr>
          <w:i/>
        </w:rPr>
        <w:t>Жилые секции.</w:t>
      </w:r>
    </w:p>
    <w:p>
      <w:pPr>
        <w:pStyle w:val="Normal"/>
        <w:ind w:right="-1" w:firstLine="709"/>
        <w:rPr/>
      </w:pPr>
      <w:r>
        <w:rPr/>
        <w:t>- несущие</w:t>
      </w:r>
    </w:p>
    <w:p>
      <w:pPr>
        <w:pStyle w:val="Normal"/>
        <w:ind w:right="-1" w:firstLine="709"/>
        <w:rPr/>
      </w:pPr>
      <w:r>
        <w:rPr/>
        <w:t>1. Фундамент — монолитные железобетонные плиты ПМ3 (секции 6,7), Пм4 (секция 8). Бетон класса В25;F150;W6. Для 8-ой секции монолитная железобетонная плита ПМ4 на свайном основании. Бетон класса В25; F150;W6. Сваи приняты буронабивные ф500мм с уширением в нижней части до ф1600мм.</w:t>
      </w:r>
    </w:p>
    <w:p>
      <w:pPr>
        <w:pStyle w:val="Normal"/>
        <w:ind w:right="-1" w:firstLine="709"/>
        <w:rPr/>
      </w:pPr>
      <w:r>
        <w:rPr/>
        <w:t>Бетонная подготовка монолитных фундаментных плит из бетона кл.В7,5; F75; W4.</w:t>
      </w:r>
    </w:p>
    <w:p>
      <w:pPr>
        <w:pStyle w:val="Normal"/>
        <w:ind w:right="-1" w:firstLine="709"/>
        <w:rPr>
          <w:i/>
          <w:i/>
        </w:rPr>
      </w:pPr>
      <w:r>
        <w:rPr>
          <w:i/>
        </w:rPr>
        <w:t xml:space="preserve">Для секций 6,7: </w:t>
      </w:r>
    </w:p>
    <w:p>
      <w:pPr>
        <w:pStyle w:val="Normal"/>
        <w:ind w:right="-1" w:firstLine="709"/>
        <w:rPr/>
      </w:pPr>
      <w:r>
        <w:rPr/>
        <w:t>2. Наружные стены — трехслойные керамзитобетонные толщиной 400мм в жилой части и 350мм в цокольной и чердачной частях. Внутренний утепляющий слой панелей — пенополистирол.</w:t>
      </w:r>
    </w:p>
    <w:p>
      <w:pPr>
        <w:pStyle w:val="Normal"/>
        <w:ind w:right="-1" w:firstLine="709"/>
        <w:rPr>
          <w:i/>
          <w:i/>
        </w:rPr>
      </w:pPr>
      <w:r>
        <w:rPr>
          <w:i/>
        </w:rPr>
        <w:t xml:space="preserve">Для секции 8: </w:t>
      </w:r>
    </w:p>
    <w:p>
      <w:pPr>
        <w:pStyle w:val="Normal"/>
        <w:ind w:right="-1" w:firstLine="709"/>
        <w:rPr/>
      </w:pPr>
      <w:r>
        <w:rPr/>
        <w:t>Торцевые наружные стены — 3-х слойные железобетонные из тяжелого бетона толщиной 400мм, до 7-го этажа включительно - и 3-х слойные железобетонные из керамзитобетона толщиной 400мм с 8-го по 16-й этаж.</w:t>
      </w:r>
    </w:p>
    <w:p>
      <w:pPr>
        <w:pStyle w:val="Normal"/>
        <w:ind w:right="-1" w:firstLine="709"/>
        <w:rPr/>
      </w:pPr>
      <w:r>
        <w:rPr/>
        <w:t>3-х слойные железобетонные из тяжелого бетона толщиной 350мм в цокольной части и 3-х слойные железобетонные из керамзитобетона толщиной 350мм на чердаке. Внутренний утепляющий слой панелей — пенополистирол.</w:t>
      </w:r>
    </w:p>
    <w:p>
      <w:pPr>
        <w:pStyle w:val="Normal"/>
        <w:ind w:right="-1" w:firstLine="709"/>
        <w:rPr/>
      </w:pPr>
      <w:r>
        <w:rPr/>
        <w:t>3. Внутренние стены — несущие сборные железобетонные панели толщиной 160мм.</w:t>
      </w:r>
    </w:p>
    <w:p>
      <w:pPr>
        <w:pStyle w:val="Normal"/>
        <w:ind w:right="-1" w:firstLine="709"/>
        <w:rPr/>
      </w:pPr>
      <w:r>
        <w:rPr/>
        <w:t>4. Междуэтажные перекрытия и покрытие — многопустотные железобетонные плиты толщиной 220мм (для секций 6, 7).</w:t>
      </w:r>
    </w:p>
    <w:p>
      <w:pPr>
        <w:pStyle w:val="Normal"/>
        <w:ind w:right="-1" w:firstLine="709"/>
        <w:rPr/>
      </w:pPr>
      <w:r>
        <w:rPr/>
        <w:t>Междуэтажные перекрытия до отм.+14,700мм — ребристые, выше с отм. +17,700 и покрытие — многопустотные толщиной 220мм (для секции 8).</w:t>
      </w:r>
    </w:p>
    <w:p>
      <w:pPr>
        <w:pStyle w:val="Normal"/>
        <w:ind w:right="-1" w:firstLine="709"/>
        <w:rPr/>
      </w:pPr>
      <w:r>
        <w:rPr/>
        <w:t>5. Лестничные марши и площадки — сборные железобетонные.</w:t>
      </w:r>
    </w:p>
    <w:p>
      <w:pPr>
        <w:pStyle w:val="Normal"/>
        <w:ind w:right="-1" w:firstLine="709"/>
        <w:rPr/>
      </w:pPr>
      <w:r>
        <w:rPr/>
        <w:t>6. Шахты лифтов — сборные железобетонные.</w:t>
      </w:r>
    </w:p>
    <w:p>
      <w:pPr>
        <w:pStyle w:val="Normal"/>
        <w:ind w:right="-1" w:firstLine="709"/>
        <w:rPr/>
      </w:pPr>
      <w:r>
        <w:rPr/>
        <w:t>- ненесущие элементы</w:t>
      </w:r>
    </w:p>
    <w:p>
      <w:pPr>
        <w:pStyle w:val="Normal"/>
        <w:ind w:right="-1" w:firstLine="709"/>
        <w:rPr/>
      </w:pPr>
      <w:r>
        <w:rPr/>
        <w:t>1. Фасадные стены для 8-й секции - 3-х слойные железобетонные из тяжелого бетона толщиной 400мм до 7-го этажа включительно, выше 3-х слойные железобетонные из керамзитобетона толщиной 400мм.</w:t>
      </w:r>
    </w:p>
    <w:p>
      <w:pPr>
        <w:pStyle w:val="Normal"/>
        <w:ind w:right="-1" w:firstLine="709"/>
        <w:rPr/>
      </w:pPr>
      <w:r>
        <w:rPr/>
        <w:t>2. Перегородки межквартирные — сборные железобетонные панели толщиной 160мм; перегородки санузлов — сборные железобетонные панели толщиной 80мм.</w:t>
      </w:r>
    </w:p>
    <w:p>
      <w:pPr>
        <w:pStyle w:val="Normal"/>
        <w:ind w:right="-1" w:firstLine="709"/>
        <w:rPr/>
      </w:pPr>
      <w:r>
        <w:rPr/>
        <w:t>3. Вентблоки — сборные железобетонные.</w:t>
      </w:r>
    </w:p>
    <w:p>
      <w:pPr>
        <w:pStyle w:val="Normal"/>
        <w:ind w:right="-1" w:firstLine="709"/>
        <w:rPr/>
      </w:pPr>
      <w:r>
        <w:rPr/>
        <w:t>4. Мусорокамера — кирпичные перегородки толщиной 120мм.</w:t>
      </w:r>
    </w:p>
    <w:p>
      <w:pPr>
        <w:pStyle w:val="Normal"/>
        <w:ind w:right="-1" w:firstLine="709"/>
        <w:rPr/>
      </w:pPr>
      <w:r>
        <w:rPr/>
        <w:t>5. Мусоропровод — асбестоцементные трубы.</w:t>
      </w:r>
    </w:p>
    <w:p>
      <w:pPr>
        <w:pStyle w:val="Normal"/>
        <w:ind w:right="-1" w:firstLine="709"/>
        <w:rPr/>
      </w:pPr>
      <w:r>
        <w:rPr/>
        <w:t>6. Кровля — рулонная наплавляемая.</w:t>
      </w:r>
    </w:p>
    <w:p>
      <w:pPr>
        <w:pStyle w:val="Normal"/>
        <w:ind w:right="-1" w:firstLine="709"/>
        <w:rPr/>
      </w:pPr>
      <w:r>
        <w:rPr/>
        <w:t>При выполнении строительно-монтажных работ для достижения точности геометрических параметров числовые значения предельных отклонений приняты по СНиП 3.03.01-87 «Несущие и ограждающие конструкции».</w:t>
      </w:r>
    </w:p>
    <w:p>
      <w:pPr>
        <w:pStyle w:val="Normal"/>
        <w:widowControl/>
        <w:spacing w:beforeAutospacing="1" w:after="0"/>
        <w:ind w:right="-1" w:firstLine="709"/>
        <w:jc w:val="left"/>
        <w:rPr>
          <w:rFonts w:eastAsia="Times New Roman"/>
          <w:i/>
          <w:i/>
        </w:rPr>
      </w:pPr>
      <w:r>
        <w:rPr>
          <w:rFonts w:eastAsia="Times New Roman"/>
          <w:i/>
        </w:rPr>
        <w:t>Монолитное здание с нежилыми помещениями (офисами)</w:t>
      </w:r>
    </w:p>
    <w:p>
      <w:pPr>
        <w:pStyle w:val="Normal"/>
        <w:ind w:right="-1" w:firstLine="709"/>
        <w:rPr/>
      </w:pPr>
      <w:r>
        <w:rPr/>
        <w:t>- несущие</w:t>
      </w:r>
    </w:p>
    <w:p>
      <w:pPr>
        <w:pStyle w:val="Normal"/>
        <w:ind w:right="-1" w:firstLine="709"/>
        <w:rPr/>
      </w:pPr>
      <w:r>
        <w:rPr/>
        <w:t xml:space="preserve">Фундаменты  — монолитные отдельные плиты. Соединенные с колоннами жёсткое. Бетон фундаментов класса В20, F150, W6. </w:t>
      </w:r>
    </w:p>
    <w:p>
      <w:pPr>
        <w:pStyle w:val="Normal"/>
        <w:ind w:right="-1" w:firstLine="709"/>
        <w:rPr/>
      </w:pPr>
      <w:r>
        <w:rPr/>
        <w:t>Бетонная подготовка из бетона кл.В7,5; F75;W4.</w:t>
      </w:r>
    </w:p>
    <w:p>
      <w:pPr>
        <w:pStyle w:val="Normal"/>
        <w:ind w:right="-1" w:firstLine="709"/>
        <w:rPr/>
      </w:pPr>
      <w:r>
        <w:rPr/>
        <w:t>Монолитные колонны — железобетонные, в опалубке из асбестоцементных труб ф474мм, бетон монолитных колонн кл.В30, F150, W6.</w:t>
      </w:r>
    </w:p>
    <w:p>
      <w:pPr>
        <w:pStyle w:val="Normal"/>
        <w:ind w:right="-1" w:firstLine="709"/>
        <w:rPr/>
      </w:pPr>
      <w:r>
        <w:rPr/>
        <w:t>Перекрытия и покрытие — монолитное балочное. Бетон кл. В25;F75;W6.</w:t>
      </w:r>
    </w:p>
    <w:p>
      <w:pPr>
        <w:pStyle w:val="Normal"/>
        <w:ind w:right="-1" w:firstLine="709"/>
        <w:rPr/>
      </w:pPr>
      <w:r>
        <w:rPr/>
        <w:t>Наружные стены — керамзитобетонные блоки объемным весом 1200кг/м3</w:t>
      </w:r>
    </w:p>
    <w:p>
      <w:pPr>
        <w:pStyle w:val="Normal"/>
        <w:ind w:right="-1" w:firstLine="709"/>
        <w:rPr/>
      </w:pPr>
      <w:r>
        <w:rPr/>
        <w:t>Внутренние стены лестниц — керамзитобетонные блоки объемным весом 1200 кг/м3, кирпичные - из кирпича КР-р-по 250х120х65/1НФ/150/2,0/25/ГОСТ530-2012 на растворе М100.</w:t>
      </w:r>
    </w:p>
    <w:p>
      <w:pPr>
        <w:pStyle w:val="Normal"/>
        <w:ind w:right="-1" w:firstLine="709"/>
        <w:rPr/>
      </w:pPr>
      <w:r>
        <w:rPr/>
        <w:t>Лестничные марши и площадки — сборные железобетонные и по металлическим косоурам.</w:t>
      </w:r>
    </w:p>
    <w:p>
      <w:pPr>
        <w:pStyle w:val="Normal"/>
        <w:ind w:right="-1" w:firstLine="709"/>
        <w:rPr/>
      </w:pPr>
      <w:r>
        <w:rPr/>
        <w:t>Шахта лифта — кирпичная.</w:t>
      </w:r>
    </w:p>
    <w:p>
      <w:pPr>
        <w:pStyle w:val="Normal"/>
        <w:ind w:right="-1" w:firstLine="709"/>
        <w:rPr/>
      </w:pPr>
      <w:r>
        <w:rPr/>
        <w:t>Кровля — плоская рулонная, наплавляемая.</w:t>
      </w:r>
    </w:p>
    <w:p>
      <w:pPr>
        <w:pStyle w:val="Normal"/>
        <w:ind w:right="-1" w:firstLine="709"/>
        <w:rPr/>
      </w:pPr>
      <w:r>
        <w:rPr/>
      </w:r>
    </w:p>
    <w:p>
      <w:pPr>
        <w:pStyle w:val="Normal"/>
        <w:ind w:right="-1" w:firstLine="709"/>
        <w:rPr>
          <w:i/>
          <w:i/>
        </w:rPr>
      </w:pPr>
      <w:r>
        <w:rPr>
          <w:i/>
        </w:rPr>
        <w:t>Описание и обоснование технических решений, обеспечивающих необходимую прочность, устойчивость, пространственную неизменяемость объекта капитального строительства в целом, а также егоотдельных конструктивных элементов, узлов, деталей в процессе изготовления, перевозки, строительства и эксплуатации объекта капитального строительства</w:t>
      </w:r>
    </w:p>
    <w:p>
      <w:pPr>
        <w:pStyle w:val="Normal"/>
        <w:ind w:right="-1" w:firstLine="709"/>
        <w:rPr>
          <w:i/>
          <w:i/>
        </w:rPr>
      </w:pPr>
      <w:r>
        <w:rPr>
          <w:i/>
        </w:rPr>
      </w:r>
    </w:p>
    <w:p>
      <w:pPr>
        <w:pStyle w:val="Normal"/>
        <w:ind w:right="-1" w:firstLine="709"/>
        <w:rPr/>
      </w:pPr>
      <w:r>
        <w:rPr/>
        <w:t>Жилые секции.</w:t>
      </w:r>
    </w:p>
    <w:p>
      <w:pPr>
        <w:pStyle w:val="Normal"/>
        <w:ind w:right="-1" w:firstLine="709"/>
        <w:rPr/>
      </w:pPr>
      <w:r>
        <w:rPr/>
        <w:t>Конструктивная схема здания сборный железобетонный каркас с несущими наружными и внутренними стеновыми панелями.</w:t>
      </w:r>
    </w:p>
    <w:p>
      <w:pPr>
        <w:pStyle w:val="Normal"/>
        <w:ind w:right="-1" w:firstLine="709"/>
        <w:rPr/>
      </w:pPr>
      <w:r>
        <w:rPr/>
        <w:t>Пространственная жесткость здания обеспечена совместной работой продольных и поперечных стен объединённых жёстким диском перекрытия.</w:t>
      </w:r>
    </w:p>
    <w:p>
      <w:pPr>
        <w:pStyle w:val="Normal"/>
        <w:ind w:right="-1" w:firstLine="709"/>
        <w:rPr/>
      </w:pPr>
      <w:r>
        <w:rPr/>
        <w:t xml:space="preserve">Плиты междуэтажных перекрытий объединяются в единый диск с помощью металлических связей, работающих в плоскости перекрытия на растяжение и сдвиг, а также устраиваются междуэтажные связи, обеспечивающие работу горизонтальных стыков между перекрытиями и стенами на растяжение и сдвиг. </w:t>
      </w:r>
    </w:p>
    <w:p>
      <w:pPr>
        <w:pStyle w:val="Normal"/>
        <w:ind w:right="-1" w:firstLine="709"/>
        <w:rPr>
          <w:u w:val="single"/>
        </w:rPr>
      </w:pPr>
      <w:r>
        <w:rPr>
          <w:u w:val="single"/>
        </w:rPr>
        <w:t>Монолитное здание с нежилыми помещениями (офисами)</w:t>
      </w:r>
    </w:p>
    <w:p>
      <w:pPr>
        <w:pStyle w:val="Normal"/>
        <w:ind w:right="-1" w:firstLine="709"/>
        <w:rPr/>
      </w:pPr>
      <w:r>
        <w:rPr/>
        <w:t>Конструктивная схема здания — жесткие монолитные рамы в продольном и поперечном направлениях, объединённые жёстким диском монолитных перекрытий. Соединения монолитных колонн с монолитным фундаментом — жесткие.</w:t>
      </w:r>
    </w:p>
    <w:p>
      <w:pPr>
        <w:pStyle w:val="Normal"/>
        <w:ind w:right="-1" w:firstLine="709"/>
        <w:rPr/>
      </w:pPr>
      <w:r>
        <w:rPr/>
      </w:r>
    </w:p>
    <w:p>
      <w:pPr>
        <w:pStyle w:val="Normal"/>
        <w:widowControl/>
        <w:ind w:right="-1" w:firstLine="709"/>
        <w:rPr>
          <w:rFonts w:eastAsia="Times New Roman"/>
          <w:i/>
          <w:i/>
        </w:rPr>
      </w:pPr>
      <w:r>
        <w:rPr>
          <w:rFonts w:eastAsia="Times New Roman"/>
          <w:i/>
        </w:rPr>
        <w:t>Описание конструктивных и технических решений подземной части объекта капитального строительства</w:t>
      </w:r>
    </w:p>
    <w:p>
      <w:pPr>
        <w:pStyle w:val="Normal"/>
        <w:widowControl/>
        <w:ind w:right="-1" w:firstLine="709"/>
        <w:rPr>
          <w:rFonts w:eastAsia="Times New Roman"/>
          <w:i/>
          <w:i/>
        </w:rPr>
      </w:pPr>
      <w:r>
        <w:rPr>
          <w:rFonts w:eastAsia="Times New Roman"/>
          <w:i/>
        </w:rPr>
      </w:r>
    </w:p>
    <w:p>
      <w:pPr>
        <w:pStyle w:val="Normal"/>
        <w:ind w:right="-1" w:firstLine="709"/>
        <w:rPr>
          <w:u w:val="single"/>
        </w:rPr>
      </w:pPr>
      <w:r>
        <w:rPr>
          <w:u w:val="single"/>
        </w:rPr>
        <w:t>Жилые секции.</w:t>
      </w:r>
    </w:p>
    <w:p>
      <w:pPr>
        <w:pStyle w:val="Normal"/>
        <w:ind w:right="-1" w:firstLine="709"/>
        <w:rPr/>
      </w:pPr>
      <w:r>
        <w:rPr/>
        <w:t>Подвал предназначен для прокладки инженерных коммуникаций и технических помещений (электрощитовая, ИТП, водомерный узел, насосная).</w:t>
      </w:r>
    </w:p>
    <w:p>
      <w:pPr>
        <w:pStyle w:val="Normal"/>
        <w:ind w:right="-1" w:firstLine="709"/>
        <w:rPr/>
      </w:pPr>
      <w:r>
        <w:rPr/>
        <w:t>Подвал — теплый, обогреваемый за счет остаточного тепла нижней разводки труб систем отопления и горячего водоснабжения.</w:t>
      </w:r>
    </w:p>
    <w:p>
      <w:pPr>
        <w:pStyle w:val="Normal"/>
        <w:ind w:right="-1" w:firstLine="709"/>
        <w:rPr/>
      </w:pPr>
      <w:r>
        <w:rPr/>
        <w:t>Подвал не имеет прямого сообщения с жилой частью здания. Выходы расположены рассредоточено и ведут непосредственно наружу.</w:t>
      </w:r>
    </w:p>
    <w:p>
      <w:pPr>
        <w:pStyle w:val="Normal"/>
        <w:ind w:right="-1" w:firstLine="709"/>
        <w:rPr/>
      </w:pPr>
      <w:r>
        <w:rPr/>
        <w:t>Высота помещений подвала в свету — 2,2м.</w:t>
      </w:r>
    </w:p>
    <w:p>
      <w:pPr>
        <w:pStyle w:val="Normal"/>
        <w:ind w:right="-1" w:firstLine="709"/>
        <w:rPr/>
      </w:pPr>
      <w:r>
        <w:rPr/>
        <w:t>Наружные стены подвала - трехслойные стеновые панели толщиной 350мм из тяжелого бетона с внутренним слоем утеплителя из пенополистирола ПСБ-С Y=40кг/м3.</w:t>
      </w:r>
    </w:p>
    <w:p>
      <w:pPr>
        <w:pStyle w:val="Normal"/>
        <w:ind w:right="-1" w:firstLine="709"/>
        <w:rPr/>
      </w:pPr>
      <w:r>
        <w:rPr/>
        <w:t xml:space="preserve">Внутренние стены — несущие сборные железобетонные панели толщиной 160мм,установленные на ряд бетонных блоков подвала. </w:t>
      </w:r>
    </w:p>
    <w:p>
      <w:pPr>
        <w:pStyle w:val="Normal"/>
        <w:ind w:right="-1" w:firstLine="709"/>
        <w:rPr/>
      </w:pPr>
      <w:r>
        <w:rPr/>
        <w:t xml:space="preserve">Фундамент — монолитные железобетонные плиты ПМ3 (секции 6, 7), Пм4 (секция 8). </w:t>
      </w:r>
    </w:p>
    <w:p>
      <w:pPr>
        <w:pStyle w:val="Normal"/>
        <w:ind w:right="-1" w:firstLine="709"/>
        <w:rPr/>
      </w:pPr>
      <w:r>
        <w:rPr/>
        <w:t>Материал плит — бетон кл.В25, F150, W6.</w:t>
      </w:r>
    </w:p>
    <w:p>
      <w:pPr>
        <w:pStyle w:val="Normal"/>
        <w:ind w:right="-1" w:firstLine="709"/>
        <w:rPr/>
      </w:pPr>
      <w:r>
        <w:rPr/>
        <w:t>Для 8-ой секции монолитная железобетонная плита на свайном основании. Бетон класса В25; F150;W6. Сваи приняты буронабивные ф500мм с уширением до ф1600мм.</w:t>
      </w:r>
    </w:p>
    <w:p>
      <w:pPr>
        <w:pStyle w:val="Normal"/>
        <w:ind w:right="-1" w:firstLine="709"/>
        <w:rPr>
          <w:u w:val="single"/>
        </w:rPr>
      </w:pPr>
      <w:r>
        <w:rPr>
          <w:u w:val="single"/>
        </w:rPr>
        <w:t>Монолитное здание с нежилыми помещениями (офисами)</w:t>
      </w:r>
    </w:p>
    <w:p>
      <w:pPr>
        <w:pStyle w:val="Normal"/>
        <w:ind w:right="-1" w:firstLine="709"/>
        <w:rPr/>
      </w:pPr>
      <w:r>
        <w:rPr/>
        <w:t>Подвал предназначен для прокладки инженерных коммуникаций и технических помещений.</w:t>
      </w:r>
    </w:p>
    <w:p>
      <w:pPr>
        <w:pStyle w:val="Normal"/>
        <w:ind w:right="-1" w:firstLine="709"/>
        <w:rPr/>
      </w:pPr>
      <w:r>
        <w:rPr/>
        <w:t>Подвал — теплый, обогреваемый за счет остаточного тепла нижней разводки труб систем отопления и горячего водоснабжения.</w:t>
      </w:r>
    </w:p>
    <w:p>
      <w:pPr>
        <w:pStyle w:val="Normal"/>
        <w:ind w:right="-1" w:firstLine="709"/>
        <w:rPr/>
      </w:pPr>
      <w:r>
        <w:rPr/>
        <w:t>Подвал не имеет прямого сообщения с 1-м этажом здания. Выходы расположены рассредоточено и ведут непосредственно наружу.</w:t>
      </w:r>
    </w:p>
    <w:p>
      <w:pPr>
        <w:pStyle w:val="Normal"/>
        <w:ind w:right="-1" w:firstLine="709"/>
        <w:rPr/>
      </w:pPr>
      <w:r>
        <w:rPr/>
        <w:t xml:space="preserve">Высота помещений подвала в свету — 2,1м. </w:t>
      </w:r>
    </w:p>
    <w:p>
      <w:pPr>
        <w:pStyle w:val="Normal"/>
        <w:ind w:right="-1" w:firstLine="709"/>
        <w:rPr/>
      </w:pPr>
      <w:r>
        <w:rPr/>
        <w:t xml:space="preserve">Наружные стены подвала — бетонные блоки. </w:t>
      </w:r>
    </w:p>
    <w:p>
      <w:pPr>
        <w:pStyle w:val="Normal"/>
        <w:ind w:right="-1" w:firstLine="709"/>
        <w:rPr/>
      </w:pPr>
      <w:r>
        <w:rPr/>
        <w:t>Перегородки — кирпичные из керамического кирпича М100 на растворе М50.</w:t>
      </w:r>
    </w:p>
    <w:p>
      <w:pPr>
        <w:pStyle w:val="Normal"/>
        <w:ind w:right="-1" w:firstLine="709"/>
        <w:rPr/>
      </w:pPr>
      <w:r>
        <w:rPr/>
      </w:r>
    </w:p>
    <w:p>
      <w:pPr>
        <w:pStyle w:val="Normal"/>
        <w:widowControl/>
        <w:ind w:right="-1" w:firstLine="709"/>
        <w:rPr>
          <w:rFonts w:eastAsia="Times New Roman"/>
          <w:i/>
          <w:i/>
        </w:rPr>
      </w:pPr>
      <w:r>
        <w:rPr>
          <w:rFonts w:eastAsia="Times New Roman"/>
          <w:i/>
        </w:rPr>
        <w:t>Описание и обоснование принятых объемно-планировочных решений зданий и сооружений объекта капитального строительства</w:t>
      </w:r>
    </w:p>
    <w:p>
      <w:pPr>
        <w:pStyle w:val="Normal"/>
        <w:widowControl/>
        <w:ind w:right="-1" w:firstLine="709"/>
        <w:jc w:val="left"/>
        <w:rPr>
          <w:rFonts w:eastAsia="Times New Roman"/>
          <w:i/>
          <w:i/>
        </w:rPr>
      </w:pPr>
      <w:r>
        <w:rPr>
          <w:rFonts w:eastAsia="Times New Roman"/>
          <w:i/>
        </w:rPr>
      </w:r>
    </w:p>
    <w:p>
      <w:pPr>
        <w:pStyle w:val="Normal"/>
        <w:ind w:right="-1" w:firstLine="709"/>
        <w:rPr/>
      </w:pPr>
      <w:r>
        <w:rPr/>
        <w:t>Панельные секции 6,7 включают в себя:</w:t>
      </w:r>
    </w:p>
    <w:p>
      <w:pPr>
        <w:pStyle w:val="Normal"/>
        <w:ind w:right="-1" w:firstLine="709"/>
        <w:rPr/>
      </w:pPr>
      <w:r>
        <w:rPr/>
        <w:t xml:space="preserve">• </w:t>
      </w:r>
      <w:r>
        <w:rPr/>
        <w:t>подвал;</w:t>
      </w:r>
    </w:p>
    <w:p>
      <w:pPr>
        <w:pStyle w:val="Normal"/>
        <w:ind w:right="-1" w:firstLine="709"/>
        <w:rPr/>
      </w:pPr>
      <w:r>
        <w:rPr/>
        <w:t xml:space="preserve">• </w:t>
      </w:r>
      <w:r>
        <w:rPr/>
        <w:t>1 и 2-х и 3-х комнатные квартиры, расположенные со 1-го по 9-й этажи;</w:t>
      </w:r>
    </w:p>
    <w:p>
      <w:pPr>
        <w:pStyle w:val="Normal"/>
        <w:ind w:right="-1" w:firstLine="709"/>
        <w:rPr/>
      </w:pPr>
      <w:r>
        <w:rPr/>
        <w:t xml:space="preserve">• </w:t>
      </w:r>
      <w:r>
        <w:rPr/>
        <w:t>технический чердак.</w:t>
      </w:r>
    </w:p>
    <w:p>
      <w:pPr>
        <w:pStyle w:val="Normal"/>
        <w:ind w:right="-1" w:firstLine="709"/>
        <w:rPr/>
      </w:pPr>
      <w:r>
        <w:rPr/>
        <w:t>На 1-м этаже секции 7 расположен сквозной проход.</w:t>
      </w:r>
    </w:p>
    <w:p>
      <w:pPr>
        <w:pStyle w:val="Normal"/>
        <w:ind w:right="-1" w:firstLine="709"/>
        <w:rPr/>
      </w:pPr>
      <w:r>
        <w:rPr/>
        <w:t>Лестнично-лифтовый блок объединяет лестничную клетку (тип Л1) с лифтом и мусоропроводом, расположен по центру каждой секции и отделен от внеквартирных коридоров жилой части железобетонными перегородками.</w:t>
      </w:r>
    </w:p>
    <w:p>
      <w:pPr>
        <w:pStyle w:val="Normal"/>
        <w:ind w:right="-1" w:firstLine="709"/>
        <w:rPr/>
      </w:pPr>
      <w:r>
        <w:rPr/>
        <w:t>Лестничная клетка типа Л1.</w:t>
      </w:r>
    </w:p>
    <w:p>
      <w:pPr>
        <w:pStyle w:val="Normal"/>
        <w:ind w:right="-1" w:firstLine="709"/>
        <w:rPr/>
      </w:pPr>
      <w:r>
        <w:rPr/>
        <w:t>Лифт - пассажирский грузоподъемностью 1000 кг. Скорость подъема лифта 1,0 м/сек.</w:t>
      </w:r>
    </w:p>
    <w:p>
      <w:pPr>
        <w:pStyle w:val="Normal"/>
        <w:ind w:right="-1" w:firstLine="709"/>
        <w:rPr/>
      </w:pPr>
      <w:r>
        <w:rPr/>
        <w:t>Жилой дом оборудован мусоропроводом. Мусоросборная камера имеет самостоятельный вход, изолированный от входа в здание.</w:t>
      </w:r>
    </w:p>
    <w:p>
      <w:pPr>
        <w:pStyle w:val="Normal"/>
        <w:ind w:right="-1" w:firstLine="709"/>
        <w:rPr/>
      </w:pPr>
      <w:r>
        <w:rPr/>
        <w:t>Внеквартирный коридор шириной 1,64 м и длиной до 25 м ведет к квартирам.</w:t>
      </w:r>
    </w:p>
    <w:p>
      <w:pPr>
        <w:pStyle w:val="Normal"/>
        <w:ind w:right="-1" w:firstLine="709"/>
        <w:rPr/>
      </w:pPr>
      <w:r>
        <w:rPr/>
        <w:t>В каждой квартире, расположенной на высоте более 15м, предусмотрены аварийные выходы на лоджию с глухим простенком размером 1,2м от торца лоджии дооконного проема.</w:t>
      </w:r>
    </w:p>
    <w:p>
      <w:pPr>
        <w:pStyle w:val="Normal"/>
        <w:ind w:right="-1" w:firstLine="709"/>
        <w:rPr/>
      </w:pPr>
      <w:r>
        <w:rPr/>
        <w:t>Выход на кровлю предусмотрен непосредственно из лестничной клетки.</w:t>
      </w:r>
    </w:p>
    <w:p>
      <w:pPr>
        <w:pStyle w:val="Normal"/>
        <w:ind w:right="-1" w:firstLine="709"/>
        <w:rPr/>
      </w:pPr>
      <w:r>
        <w:rPr/>
        <w:t>Подвал предназначен для прокладки инженерных коммуникаций и технических помещений (электрощитовая, ИТП, водомерный узел, насосная).</w:t>
      </w:r>
    </w:p>
    <w:p>
      <w:pPr>
        <w:pStyle w:val="Normal"/>
        <w:ind w:right="-1" w:firstLine="709"/>
        <w:rPr/>
      </w:pPr>
      <w:r>
        <w:rPr/>
        <w:t>Подвал — теплый, обогреваемый за счет остаточного тепла нижней разводки труб систем отопления и горячего водоснабжения.</w:t>
      </w:r>
    </w:p>
    <w:p>
      <w:pPr>
        <w:pStyle w:val="Normal"/>
        <w:ind w:right="-1" w:firstLine="709"/>
        <w:rPr/>
      </w:pPr>
      <w:r>
        <w:rPr/>
        <w:t>Подвал не имеет прямого сообщения с жилой частью здания. Выходы расположены рассредоточено и ведут непосредственно наружу.</w:t>
      </w:r>
    </w:p>
    <w:p>
      <w:pPr>
        <w:pStyle w:val="Normal"/>
        <w:ind w:right="-1" w:firstLine="709"/>
        <w:rPr/>
      </w:pPr>
      <w:r>
        <w:rPr/>
        <w:t>Чердак здания – теплый, обогреваемый воздухом вытяжной вентиляции. Воздух из вентканалов объединяется в пространстве чердака и выводится наружу через дефлекторы.</w:t>
      </w:r>
    </w:p>
    <w:p>
      <w:pPr>
        <w:pStyle w:val="Normal"/>
        <w:ind w:right="-1" w:firstLine="709"/>
        <w:rPr/>
      </w:pPr>
      <w:r>
        <w:rPr/>
        <w:t>Панельная секция 8 включает в себя:</w:t>
      </w:r>
    </w:p>
    <w:p>
      <w:pPr>
        <w:pStyle w:val="Normal"/>
        <w:ind w:right="-1" w:firstLine="709"/>
        <w:rPr/>
      </w:pPr>
      <w:r>
        <w:rPr/>
        <w:t xml:space="preserve">• </w:t>
      </w:r>
      <w:r>
        <w:rPr/>
        <w:t>подвал;</w:t>
      </w:r>
    </w:p>
    <w:p>
      <w:pPr>
        <w:pStyle w:val="Normal"/>
        <w:ind w:right="-1" w:firstLine="709"/>
        <w:rPr/>
      </w:pPr>
      <w:r>
        <w:rPr/>
        <w:t xml:space="preserve">• </w:t>
      </w:r>
      <w:r>
        <w:rPr/>
        <w:t>1 и 2-х и 3-х комнатные квартиры, расположенные со 1-го по 16-й этажи;</w:t>
      </w:r>
    </w:p>
    <w:p>
      <w:pPr>
        <w:pStyle w:val="Normal"/>
        <w:ind w:right="-1" w:firstLine="709"/>
        <w:rPr/>
      </w:pPr>
      <w:r>
        <w:rPr/>
        <w:t xml:space="preserve">• </w:t>
      </w:r>
      <w:r>
        <w:rPr/>
        <w:t>технический чердак.</w:t>
      </w:r>
    </w:p>
    <w:p>
      <w:pPr>
        <w:pStyle w:val="Normal"/>
        <w:ind w:right="-1" w:firstLine="709"/>
        <w:rPr/>
      </w:pPr>
      <w:r>
        <w:rPr/>
        <w:t>Лестнично-лифтовый блок объединяет лестничную клетку (тип Н2) с лифтами и мусоропроводом, расположен по центру секции и отделен от внеквартирных коридоров жилой части железобетонными перегородками.</w:t>
      </w:r>
    </w:p>
    <w:p>
      <w:pPr>
        <w:pStyle w:val="Normal"/>
        <w:ind w:right="-1" w:firstLine="709"/>
        <w:rPr/>
      </w:pPr>
      <w:r>
        <w:rPr/>
        <w:t xml:space="preserve">Лестничная клетка типа Н2 с подпором воздуха при пожаре. </w:t>
      </w:r>
    </w:p>
    <w:p>
      <w:pPr>
        <w:pStyle w:val="Normal"/>
        <w:ind w:right="-1" w:firstLine="709"/>
        <w:rPr/>
      </w:pPr>
      <w:r>
        <w:rPr/>
        <w:t>Лестничная клетка типа Н2 имеет выход непосредственно наружу через распашные двери шириной не менее 1,3м.</w:t>
      </w:r>
    </w:p>
    <w:p>
      <w:pPr>
        <w:pStyle w:val="Normal"/>
        <w:ind w:right="-1" w:firstLine="709"/>
        <w:rPr/>
      </w:pPr>
      <w:r>
        <w:rPr/>
        <w:t>Лифты — грузопассажирский грузоподъемностью 630кг и пассажирский грузоподъемность 400кг. Скорость подъема лифтов — 1 м/сек.</w:t>
      </w:r>
    </w:p>
    <w:p>
      <w:pPr>
        <w:pStyle w:val="Normal"/>
        <w:ind w:right="-1" w:firstLine="709"/>
        <w:rPr/>
      </w:pPr>
      <w:r>
        <w:rPr/>
        <w:t xml:space="preserve">Лифт грузоподъемностью 630кг предназначен для перевозки пожарных подразделений. </w:t>
      </w:r>
    </w:p>
    <w:p>
      <w:pPr>
        <w:pStyle w:val="Normal"/>
        <w:ind w:right="-1" w:firstLine="709"/>
        <w:rPr/>
      </w:pPr>
      <w:r>
        <w:rPr/>
        <w:t>Расположение лифтов — однорядное.</w:t>
      </w:r>
    </w:p>
    <w:p>
      <w:pPr>
        <w:pStyle w:val="Normal"/>
        <w:ind w:right="-1" w:firstLine="709"/>
        <w:rPr/>
      </w:pPr>
      <w:r>
        <w:rPr/>
        <w:t>Жилой дом оборудован мусоропроводом. Мусоросборная камера имеет самостоятельный вход, изолированный от входа в здание.</w:t>
      </w:r>
    </w:p>
    <w:p>
      <w:pPr>
        <w:pStyle w:val="Normal"/>
        <w:ind w:right="-1" w:firstLine="709"/>
        <w:rPr/>
      </w:pPr>
      <w:r>
        <w:rPr/>
        <w:t>Внеквартирные коридоры шириной 1,9 и 1,7м длиной до 25м ведут в квартиры.</w:t>
      </w:r>
    </w:p>
    <w:p>
      <w:pPr>
        <w:pStyle w:val="Normal"/>
        <w:ind w:right="-1" w:firstLine="709"/>
        <w:rPr/>
      </w:pPr>
      <w:r>
        <w:rPr/>
        <w:t>В каждой квартире, расположенной на высоте более 15м, предусмотрены аварийные выходы на лоджию с глухим простенком размером 1,2м от торца лоджии до</w:t>
      </w:r>
    </w:p>
    <w:p>
      <w:pPr>
        <w:pStyle w:val="Normal"/>
        <w:ind w:right="-1" w:firstLine="709"/>
        <w:rPr/>
      </w:pPr>
      <w:r>
        <w:rPr/>
        <w:t>оконного проема.</w:t>
      </w:r>
    </w:p>
    <w:p>
      <w:pPr>
        <w:pStyle w:val="Normal"/>
        <w:ind w:right="-1" w:firstLine="709"/>
        <w:rPr/>
      </w:pPr>
      <w:r>
        <w:rPr/>
        <w:t>Выход на кровлю предусмотрен непосредственно из лестничной клетки.</w:t>
      </w:r>
    </w:p>
    <w:p>
      <w:pPr>
        <w:pStyle w:val="Normal"/>
        <w:ind w:right="-1" w:firstLine="709"/>
        <w:rPr/>
      </w:pPr>
      <w:r>
        <w:rPr/>
        <w:t>Подвал предназначен для прокладки инженерных коммуникаций и технических помещений (электрощитовая, водомерный узел, насосная).</w:t>
      </w:r>
    </w:p>
    <w:p>
      <w:pPr>
        <w:pStyle w:val="Normal"/>
        <w:ind w:right="-1" w:firstLine="709"/>
        <w:rPr/>
      </w:pPr>
      <w:r>
        <w:rPr/>
        <w:t>Подвал — теплый, обогреваемый за счет остаточного тепла нижней разводки труб систем отопления и горячего водоснабжения.</w:t>
      </w:r>
    </w:p>
    <w:p>
      <w:pPr>
        <w:pStyle w:val="Normal"/>
        <w:ind w:right="-1" w:firstLine="709"/>
        <w:rPr/>
      </w:pPr>
      <w:r>
        <w:rPr/>
        <w:t>Подвал не имеет прямого сообщения с жилой частью здания. Выходы расположены рассредоточено и ведут непосредственно наружу.</w:t>
      </w:r>
    </w:p>
    <w:p>
      <w:pPr>
        <w:pStyle w:val="Normal"/>
        <w:ind w:right="-1" w:firstLine="709"/>
        <w:rPr/>
      </w:pPr>
      <w:r>
        <w:rPr/>
        <w:t>Чердак здания – теплый, обогреваемый воздухом вытяжной вентиляции. Воздух из вентканалов объединяется в пространстве чердака и выводится наружу через дефлекторы.</w:t>
      </w:r>
    </w:p>
    <w:p>
      <w:pPr>
        <w:pStyle w:val="Normal"/>
        <w:ind w:right="-1" w:firstLine="709"/>
        <w:rPr/>
      </w:pPr>
      <w:r>
        <w:rPr/>
        <w:t>Монолитное здание с нежилыми помещениями (офисами)включает в себя:</w:t>
      </w:r>
    </w:p>
    <w:p>
      <w:pPr>
        <w:pStyle w:val="Normal"/>
        <w:ind w:right="-1" w:firstLine="709"/>
        <w:rPr/>
      </w:pPr>
      <w:r>
        <w:rPr/>
        <w:t xml:space="preserve">• </w:t>
      </w:r>
      <w:r>
        <w:rPr/>
        <w:t>подвал;</w:t>
      </w:r>
    </w:p>
    <w:p>
      <w:pPr>
        <w:pStyle w:val="Normal"/>
        <w:ind w:right="-1" w:firstLine="709"/>
        <w:rPr/>
      </w:pPr>
      <w:r>
        <w:rPr/>
        <w:t xml:space="preserve">• </w:t>
      </w:r>
      <w:r>
        <w:rPr/>
        <w:t>нежилые помещения (офисы) с 1-го по 3-й этаж, санузлы.</w:t>
      </w:r>
    </w:p>
    <w:p>
      <w:pPr>
        <w:pStyle w:val="Normal"/>
        <w:ind w:right="-1" w:firstLine="709"/>
        <w:rPr/>
      </w:pPr>
      <w:r>
        <w:rPr/>
        <w:t>На 1-м этаже расположен сквозной проезд.</w:t>
      </w:r>
    </w:p>
    <w:p>
      <w:pPr>
        <w:pStyle w:val="Normal"/>
        <w:ind w:right="-1" w:firstLine="709"/>
        <w:rPr/>
      </w:pPr>
      <w:r>
        <w:rPr/>
        <w:t>В здании запроектированы две лестничные клетки (типа Л1 и Н2), а также лифтгрузоподъемностью 630кг, предназначенный в т.ч. для транспортировки МГН на 2-ой и 3-й этажи.</w:t>
      </w:r>
    </w:p>
    <w:p>
      <w:pPr>
        <w:pStyle w:val="Normal"/>
        <w:ind w:right="-1" w:firstLine="709"/>
        <w:rPr/>
      </w:pPr>
      <w:r>
        <w:rPr/>
        <w:t>Предусмотрен один выход на кровлю из лестничной клетки по стремянке.</w:t>
      </w:r>
    </w:p>
    <w:p>
      <w:pPr>
        <w:pStyle w:val="Normal"/>
        <w:ind w:right="-1" w:firstLine="709"/>
        <w:rPr/>
      </w:pPr>
      <w:r>
        <w:rPr/>
        <w:t>Подвал предназначен для прокладки инженерных коммуникаций и технических помещений.</w:t>
      </w:r>
    </w:p>
    <w:p>
      <w:pPr>
        <w:pStyle w:val="Normal"/>
        <w:ind w:right="-1" w:firstLine="709"/>
        <w:rPr/>
      </w:pPr>
      <w:r>
        <w:rPr/>
        <w:t>Подвал — теплый, обогреваемый за счет остаточного тепла нижней разводки труб систем отопления и горячего водоснабжения.</w:t>
      </w:r>
    </w:p>
    <w:p>
      <w:pPr>
        <w:pStyle w:val="Normal"/>
        <w:ind w:right="-1" w:firstLine="709"/>
        <w:rPr/>
      </w:pPr>
      <w:r>
        <w:rPr/>
        <w:t xml:space="preserve">         </w:t>
      </w:r>
      <w:r>
        <w:rPr/>
        <w:t>Подвал не имеет прямого сообщения с 1-м этажом здания. Выходы расположены рассредоточено и ведут непосредственно наружу.</w:t>
      </w:r>
    </w:p>
    <w:p>
      <w:pPr>
        <w:pStyle w:val="Normal"/>
        <w:ind w:right="-1" w:firstLine="709"/>
        <w:rPr/>
      </w:pPr>
      <w:r>
        <w:rPr/>
      </w:r>
    </w:p>
    <w:p>
      <w:pPr>
        <w:pStyle w:val="Normal"/>
        <w:ind w:right="-1" w:firstLine="709"/>
        <w:rPr>
          <w:i/>
          <w:i/>
        </w:rPr>
      </w:pPr>
      <w:r>
        <w:rPr>
          <w:i/>
        </w:rPr>
        <w:t>Обоснование проектных решений и мероприятий, обеспечивающих:соблюдение требуемых теплозащитных характеристик ограждающих конструкций; снижение шума и вибраций; гидроизоляцию и пароизоляцию помещений; снижение загазованности помещений; удаление избытков тепла; соблюдение безопасного уровня электромагнитных и иных излучений, соблюдение санитарно-гигиенических условий; пожарную безопасность.</w:t>
      </w:r>
    </w:p>
    <w:p>
      <w:pPr>
        <w:pStyle w:val="Normal"/>
        <w:ind w:right="-1" w:firstLine="709"/>
        <w:rPr>
          <w:i/>
          <w:i/>
        </w:rPr>
      </w:pPr>
      <w:r>
        <w:rPr>
          <w:i/>
        </w:rPr>
      </w:r>
    </w:p>
    <w:p>
      <w:pPr>
        <w:pStyle w:val="Normal"/>
        <w:ind w:right="-1" w:firstLine="709"/>
        <w:rPr/>
      </w:pPr>
      <w:r>
        <w:rPr/>
        <w:t>Жилые секции.</w:t>
      </w:r>
    </w:p>
    <w:p>
      <w:pPr>
        <w:pStyle w:val="Normal"/>
        <w:ind w:right="-1" w:firstLine="709"/>
        <w:rPr/>
      </w:pPr>
      <w:r>
        <w:rPr/>
        <w:t>На основании СНиП 23-02-2003 «Тепловая защита зданий», СП 23-101-2004 «Проектирование тепловой защиты зданий», СНиП 23-01-99 «Строительная климатология» и ГОСТ 30494-96 «Здания жилые и общественные. Параметры микроклимата в помещениях» в проекте заложена следующая тепловая защита:</w:t>
      </w:r>
    </w:p>
    <w:p>
      <w:pPr>
        <w:pStyle w:val="Normal"/>
        <w:ind w:right="-1" w:firstLine="709"/>
        <w:rPr/>
      </w:pPr>
      <w:r>
        <w:rPr/>
        <w:t>- наружные стены ниже отметки 0,000 — трехслойные стеновые панели толщиной 350мм из тяжелого бетона с внутренним слоем утеплителя из пенополистирола ПСБ-С Y=40кг/м3</w:t>
      </w:r>
    </w:p>
    <w:p>
      <w:pPr>
        <w:pStyle w:val="Normal"/>
        <w:ind w:right="-1" w:firstLine="709"/>
        <w:rPr/>
      </w:pPr>
      <w:r>
        <w:rPr/>
        <w:t>- наружные стены выше отметки 0,000 — трехслойные стеновые панели толщиной 400мм из керамзитобетона с внутренним слоем утеплителя из пенополистирола ПСБ-С Y=40кг/м3 (секции 6,7) и секции 8 выше 7-го этажа.</w:t>
      </w:r>
    </w:p>
    <w:p>
      <w:pPr>
        <w:pStyle w:val="Normal"/>
        <w:ind w:right="-1" w:firstLine="709"/>
        <w:rPr/>
      </w:pPr>
      <w:r>
        <w:rPr/>
        <w:t>Для секции 8 с 1-го по 7-й этаж включительно — 3-х слойные железобетонные из тяжелого бетона толщиной 400мм.</w:t>
      </w:r>
    </w:p>
    <w:p>
      <w:pPr>
        <w:pStyle w:val="Normal"/>
        <w:ind w:right="-1" w:firstLine="709"/>
        <w:rPr/>
      </w:pPr>
      <w:r>
        <w:rPr/>
        <w:t>- фасад здания - фасадная штукатурная система по выравнивающему слою «Изол-ФШ» толщиной 50мм.</w:t>
      </w:r>
    </w:p>
    <w:p>
      <w:pPr>
        <w:pStyle w:val="Normal"/>
        <w:ind w:right="-1" w:firstLine="709"/>
        <w:rPr/>
      </w:pPr>
      <w:r>
        <w:rPr/>
        <w:t>- кровля — утеплитель — керамзитовый гравий Y=600 кг/м3, толщина минимальная — 180мм;</w:t>
      </w:r>
    </w:p>
    <w:p>
      <w:pPr>
        <w:pStyle w:val="Normal"/>
        <w:ind w:right="-1" w:firstLine="709"/>
        <w:rPr/>
      </w:pPr>
      <w:r>
        <w:rPr/>
        <w:t>- окна и балконные двери жилых помещений, кухонь и лестничной клетки в ПВХ переплетах с двухкамерными стеклопакетами.</w:t>
      </w:r>
    </w:p>
    <w:p>
      <w:pPr>
        <w:pStyle w:val="Normal"/>
        <w:ind w:right="-1" w:firstLine="709"/>
        <w:rPr/>
      </w:pPr>
      <w:r>
        <w:rPr/>
        <w:t xml:space="preserve">Гидроизоляция стен подвала соприкасающихся с грунтом — обмазка горячим битумом всех вертикальных поверхностей за 2 раза. </w:t>
      </w:r>
    </w:p>
    <w:p>
      <w:pPr>
        <w:pStyle w:val="Normal"/>
        <w:ind w:right="-1" w:firstLine="709"/>
        <w:rPr/>
      </w:pPr>
      <w:r>
        <w:rPr/>
        <w:t>Горизонтальная гидроизоляция - в уровне верха фундаментной плиты по всем стенам цементно-песчаный раствор состав 1:2 толщиной 20 мм.</w:t>
      </w:r>
    </w:p>
    <w:p>
      <w:pPr>
        <w:pStyle w:val="Normal"/>
        <w:ind w:right="-1" w:firstLine="709"/>
        <w:rPr/>
      </w:pPr>
      <w:r>
        <w:rPr/>
        <w:t xml:space="preserve">Гидроизоляция кровли — один слой Техноэласта ЭКП по слою Техноэласт ЭПП. </w:t>
      </w:r>
    </w:p>
    <w:p>
      <w:pPr>
        <w:pStyle w:val="Normal"/>
        <w:ind w:right="-1" w:firstLine="709"/>
        <w:rPr/>
      </w:pPr>
      <w:r>
        <w:rPr/>
        <w:t>Пароизоляция кровли — Бикрост ХПП.</w:t>
      </w:r>
    </w:p>
    <w:p>
      <w:pPr>
        <w:pStyle w:val="Normal"/>
        <w:ind w:right="-1" w:firstLine="709"/>
        <w:rPr/>
      </w:pPr>
      <w:r>
        <w:rPr/>
      </w:r>
    </w:p>
    <w:p>
      <w:pPr>
        <w:pStyle w:val="Normal"/>
        <w:ind w:right="-1" w:firstLine="709"/>
        <w:rPr/>
      </w:pPr>
      <w:r>
        <w:rPr/>
        <w:t>Противопожарная защита объекта достигается:</w:t>
      </w:r>
    </w:p>
    <w:p>
      <w:pPr>
        <w:pStyle w:val="Normal"/>
        <w:ind w:right="-1" w:firstLine="709"/>
        <w:rPr/>
      </w:pPr>
      <w:r>
        <w:rPr/>
        <w:t>- объемно-планировочными и конструктивными решениями;</w:t>
      </w:r>
    </w:p>
    <w:p>
      <w:pPr>
        <w:pStyle w:val="Normal"/>
        <w:ind w:right="-1" w:firstLine="709"/>
        <w:rPr/>
      </w:pPr>
      <w:r>
        <w:rPr/>
        <w:t>- регламентацией огнестойкости и пожарной опасности строительных конструкций и отделочных материалов.</w:t>
      </w:r>
    </w:p>
    <w:p>
      <w:pPr>
        <w:pStyle w:val="Normal"/>
        <w:ind w:right="-1" w:firstLine="709"/>
        <w:rPr/>
      </w:pPr>
      <w:r>
        <w:rPr/>
        <w:t>Все конструкции здания соответствуют нормативным пределам огнестойкости и обеспечивают II степень огнестойкости.</w:t>
      </w:r>
    </w:p>
    <w:p>
      <w:pPr>
        <w:pStyle w:val="Normal"/>
        <w:ind w:right="-1" w:firstLine="709"/>
        <w:rPr/>
      </w:pPr>
      <w:r>
        <w:rPr/>
        <w:t>Лестнично-лифтовый блок отделен от общих коридоров жилой части железобетонными панелями толщиной 160 мм.</w:t>
      </w:r>
    </w:p>
    <w:p>
      <w:pPr>
        <w:pStyle w:val="Normal"/>
        <w:ind w:right="-1" w:firstLine="709"/>
        <w:rPr/>
      </w:pPr>
      <w:r>
        <w:rPr/>
        <w:t xml:space="preserve">Лестничная клетка имеет естественное освещение через оконные проёмы площадью не менее 1,2 м2 .Зазор между поручнем ограждений марша и шахтой лифта более 100мм для свободного прохождения пожарного рукава. </w:t>
      </w:r>
    </w:p>
    <w:p>
      <w:pPr>
        <w:pStyle w:val="Normal"/>
        <w:ind w:right="-1" w:firstLine="709"/>
        <w:rPr/>
      </w:pPr>
      <w:r>
        <w:rPr/>
        <w:t>Шахта лифта (лифтов) — выделена железобетонными объемными элементами с толщиной стенок 120 мм и пределом огнестойкости REI 90 с заполнением дверного проема противопожарными дверями.</w:t>
      </w:r>
    </w:p>
    <w:p>
      <w:pPr>
        <w:pStyle w:val="Normal"/>
        <w:ind w:right="-1" w:firstLine="709"/>
        <w:rPr/>
      </w:pPr>
      <w:r>
        <w:rPr/>
        <w:t>Мусоросборная камера имеет самостоятельный вход, перекрытый козырьком и изолированный кирпичными перегородками от входа в жилое здание.</w:t>
      </w:r>
    </w:p>
    <w:p>
      <w:pPr>
        <w:pStyle w:val="Normal"/>
        <w:ind w:right="-1" w:firstLine="709"/>
        <w:rPr/>
      </w:pPr>
      <w:r>
        <w:rPr/>
        <w:t>Мусоросборная камера в пределах жилого здания выделена противопожарными перегородками и перекрытием с пределами огнестойкости не менее REI 60 и классом пожарной опасности К0.</w:t>
      </w:r>
    </w:p>
    <w:p>
      <w:pPr>
        <w:pStyle w:val="Normal"/>
        <w:ind w:right="-1" w:firstLine="709"/>
        <w:rPr/>
      </w:pPr>
      <w:r>
        <w:rPr/>
        <w:t>Ствол мусоропровода – из асбестоцементных труб.</w:t>
      </w:r>
    </w:p>
    <w:p>
      <w:pPr>
        <w:pStyle w:val="Normal"/>
        <w:ind w:right="-1" w:firstLine="709"/>
        <w:rPr/>
      </w:pPr>
      <w:r>
        <w:rPr/>
        <w:t>Конструкция системы мусоропровода включает противопожарные устройства:</w:t>
      </w:r>
    </w:p>
    <w:p>
      <w:pPr>
        <w:pStyle w:val="Normal"/>
        <w:ind w:right="-1" w:firstLine="709"/>
        <w:rPr/>
      </w:pPr>
      <w:r>
        <w:rPr/>
        <w:t xml:space="preserve">• </w:t>
      </w:r>
      <w:r>
        <w:rPr/>
        <w:t>Шибер — противопожарный клапан с приводом самозакрывания при пожаре;</w:t>
      </w:r>
    </w:p>
    <w:p>
      <w:pPr>
        <w:pStyle w:val="Normal"/>
        <w:ind w:right="-1" w:firstLine="709"/>
        <w:rPr/>
      </w:pPr>
      <w:r>
        <w:rPr/>
        <w:t xml:space="preserve">• </w:t>
      </w:r>
      <w:r>
        <w:rPr/>
        <w:t>Устройство очистки КОМ — сплинкерную систему пожаротушения;</w:t>
      </w:r>
    </w:p>
    <w:p>
      <w:pPr>
        <w:pStyle w:val="Normal"/>
        <w:ind w:right="-1" w:firstLine="709"/>
        <w:rPr/>
      </w:pPr>
      <w:r>
        <w:rPr/>
        <w:t xml:space="preserve">• </w:t>
      </w:r>
      <w:r>
        <w:rPr/>
        <w:t>Ствол мусоропровода изготавливается из негорючих материалов (асбестоцементныхе трубы со стыковкой на изолированных муфтах);</w:t>
      </w:r>
    </w:p>
    <w:p>
      <w:pPr>
        <w:pStyle w:val="Normal"/>
        <w:ind w:right="-1" w:firstLine="709"/>
        <w:rPr/>
      </w:pPr>
      <w:r>
        <w:rPr/>
        <w:t xml:space="preserve">• </w:t>
      </w:r>
      <w:r>
        <w:rPr/>
        <w:t>Клапаны мусоропровода выполнены с уплотнением в притворах;</w:t>
      </w:r>
    </w:p>
    <w:p>
      <w:pPr>
        <w:pStyle w:val="Normal"/>
        <w:ind w:right="-1" w:firstLine="709"/>
        <w:rPr/>
      </w:pPr>
      <w:r>
        <w:rPr/>
        <w:t>Мусоропровод оборудован системой автоматического пожаротушения.</w:t>
      </w:r>
    </w:p>
    <w:p>
      <w:pPr>
        <w:pStyle w:val="Normal"/>
        <w:ind w:right="-1" w:firstLine="709"/>
        <w:rPr/>
      </w:pPr>
      <w:r>
        <w:rPr/>
        <w:t>Выход на кровлю из лестничной клетки предусмотрен по стальной стремянке с уклоном 60є через противопожарную дверь.</w:t>
      </w:r>
    </w:p>
    <w:p>
      <w:pPr>
        <w:pStyle w:val="Normal"/>
        <w:ind w:right="-1" w:firstLine="709"/>
        <w:rPr/>
      </w:pPr>
      <w:r>
        <w:rPr/>
        <w:t>На перепаде высоты между основной кровлей и кровлей лестнично-лифтового блока предусмотрена стационарная вертикальная пожарная лестница-стремянка.</w:t>
      </w:r>
    </w:p>
    <w:p>
      <w:pPr>
        <w:pStyle w:val="Normal"/>
        <w:ind w:right="-1" w:firstLine="709"/>
        <w:rPr/>
      </w:pPr>
      <w:r>
        <w:rPr/>
        <w:t xml:space="preserve">Подвал не имеет сообщения с жилой частью здания и разделен на пожарныеотсеки. Каждый пожарный отсек имеет выходы непосредственно наружу. </w:t>
      </w:r>
    </w:p>
    <w:p>
      <w:pPr>
        <w:pStyle w:val="Normal"/>
        <w:ind w:right="-1" w:firstLine="709"/>
        <w:rPr/>
      </w:pPr>
      <w:r>
        <w:rPr/>
        <w:t>Двери технических помещений подвала (ИТП, водомерного узла, электрощитовой, насосной) - противопожарные с пределом огнестойкости EI 30.</w:t>
      </w:r>
    </w:p>
    <w:p>
      <w:pPr>
        <w:pStyle w:val="Normal"/>
        <w:ind w:right="-1" w:firstLine="709"/>
        <w:rPr/>
      </w:pPr>
      <w:r>
        <w:rPr/>
        <w:t>Кровля - рулонная наплавляемая толщиной не более 8мм.</w:t>
      </w:r>
    </w:p>
    <w:p>
      <w:pPr>
        <w:pStyle w:val="Normal"/>
        <w:ind w:right="-1" w:firstLine="709"/>
        <w:rPr/>
      </w:pPr>
      <w:r>
        <w:rPr/>
        <w:t>На кровле по контуру парапета выполнено ограждение высотой 1,2м.</w:t>
      </w:r>
    </w:p>
    <w:p>
      <w:pPr>
        <w:pStyle w:val="Normal"/>
        <w:ind w:right="-1" w:firstLine="709"/>
        <w:rPr/>
      </w:pPr>
      <w:r>
        <w:rPr/>
        <w:t>Для защиты от технического шума производственного оборудования электрощитовой, ИТП и водомерного узла, расположенных в подвале, выполнена звукоизоляция потолка.</w:t>
      </w:r>
    </w:p>
    <w:p>
      <w:pPr>
        <w:pStyle w:val="Normal"/>
        <w:ind w:right="-1" w:firstLine="709"/>
        <w:rPr/>
      </w:pPr>
      <w:r>
        <w:rPr/>
        <w:t>Оконные и дверные блоки жилых помещений обеспечивают звукоизоляцию от уличного шума.</w:t>
      </w:r>
    </w:p>
    <w:p>
      <w:pPr>
        <w:pStyle w:val="Normal"/>
        <w:ind w:right="-1" w:firstLine="709"/>
        <w:rPr/>
      </w:pPr>
      <w:r>
        <w:rPr/>
        <w:t>Состав полов и примыкания к стенам предусматривают межэтажную звукоизоляцию.</w:t>
      </w:r>
    </w:p>
    <w:p>
      <w:pPr>
        <w:pStyle w:val="Normal"/>
        <w:ind w:right="-1" w:firstLine="709"/>
        <w:rPr/>
      </w:pPr>
      <w:r>
        <w:rPr/>
        <w:t xml:space="preserve">Загазованность помещений и опасный уровень электромагнитных и иных излучений отсутствуют. </w:t>
      </w:r>
    </w:p>
    <w:p>
      <w:pPr>
        <w:pStyle w:val="Normal"/>
        <w:ind w:right="-1" w:firstLine="709"/>
        <w:rPr/>
      </w:pPr>
      <w:r>
        <w:rPr/>
        <w:t>Удаление избытков тепла не требуется.</w:t>
      </w:r>
    </w:p>
    <w:p>
      <w:pPr>
        <w:pStyle w:val="Normal"/>
        <w:ind w:right="-1" w:firstLine="709"/>
        <w:rPr/>
      </w:pPr>
      <w:r>
        <w:rPr/>
      </w:r>
    </w:p>
    <w:p>
      <w:pPr>
        <w:pStyle w:val="Normal"/>
        <w:ind w:right="-1" w:firstLine="709"/>
        <w:rPr>
          <w:u w:val="single"/>
        </w:rPr>
      </w:pPr>
      <w:r>
        <w:rPr>
          <w:u w:val="single"/>
        </w:rPr>
        <w:t>Монолитное здание с нежилыми помещениями (офисами)</w:t>
      </w:r>
    </w:p>
    <w:p>
      <w:pPr>
        <w:pStyle w:val="Normal"/>
        <w:ind w:right="-1" w:firstLine="709"/>
        <w:rPr/>
      </w:pPr>
      <w:r>
        <w:rPr/>
        <w:t>- наружные стены подвала — бетонные блоки толщиной 600мм с наружным утеплением;</w:t>
      </w:r>
    </w:p>
    <w:p>
      <w:pPr>
        <w:pStyle w:val="Normal"/>
        <w:ind w:right="-1" w:firstLine="709"/>
        <w:rPr/>
      </w:pPr>
      <w:r>
        <w:rPr/>
        <w:t>- наружные стены выше отметки 0,000 — керамзитобетонные блоки с наружным утеплением;</w:t>
      </w:r>
    </w:p>
    <w:p>
      <w:pPr>
        <w:pStyle w:val="Normal"/>
        <w:ind w:right="-1" w:firstLine="709"/>
        <w:rPr/>
      </w:pPr>
      <w:r>
        <w:rPr/>
        <w:t>- фасад здания - фасадная штукатурная система по выравнивающему слою «Изол-ФШ» толщиной 50мм.</w:t>
      </w:r>
    </w:p>
    <w:p>
      <w:pPr>
        <w:pStyle w:val="Normal"/>
        <w:ind w:right="-1" w:firstLine="709"/>
        <w:rPr/>
      </w:pPr>
      <w:r>
        <w:rPr/>
        <w:t>- кровля — утеплитель — минераловатный «ТехноРуф», толщиной 140мм;</w:t>
      </w:r>
    </w:p>
    <w:p>
      <w:pPr>
        <w:pStyle w:val="Normal"/>
        <w:ind w:right="-1" w:firstLine="709"/>
        <w:rPr/>
      </w:pPr>
      <w:r>
        <w:rPr/>
        <w:t>- окна в ПВХ переплетах с двухкамерными стеклопакетами.</w:t>
      </w:r>
    </w:p>
    <w:p>
      <w:pPr>
        <w:pStyle w:val="Normal"/>
        <w:ind w:right="-1" w:firstLine="709"/>
        <w:rPr/>
      </w:pPr>
      <w:r>
        <w:rPr/>
        <w:t xml:space="preserve">Гидроизоляция стен подвала соприкасающихся с грунтом — 2 слоя изоляции «Техноэласт ЭПП". </w:t>
      </w:r>
    </w:p>
    <w:p>
      <w:pPr>
        <w:pStyle w:val="Normal"/>
        <w:ind w:right="-1" w:firstLine="709"/>
        <w:rPr/>
      </w:pPr>
      <w:r>
        <w:rPr/>
        <w:t>Горизонтальная гидроизоляция - в уровне верха ленточных фундаментов под стены подвала - цементно-песчаный раствор состав 1:2 толщиной 20 мм.</w:t>
      </w:r>
    </w:p>
    <w:p>
      <w:pPr>
        <w:pStyle w:val="Normal"/>
        <w:ind w:right="-1" w:firstLine="709"/>
        <w:rPr/>
      </w:pPr>
      <w:r>
        <w:rPr/>
        <w:t xml:space="preserve">Гидроизоляция кровли — один слой Техноэласта ЭКП по слою Техноэласт ЭПП. </w:t>
      </w:r>
    </w:p>
    <w:p>
      <w:pPr>
        <w:pStyle w:val="Normal"/>
        <w:ind w:right="-1" w:firstLine="709"/>
        <w:rPr/>
      </w:pPr>
      <w:r>
        <w:rPr/>
        <w:t>Пароизоляция кровли — Бикроэласт ТПП.</w:t>
      </w:r>
    </w:p>
    <w:p>
      <w:pPr>
        <w:pStyle w:val="Normal"/>
        <w:ind w:right="-1" w:firstLine="709"/>
        <w:rPr/>
      </w:pPr>
      <w:r>
        <w:rPr/>
        <w:t>Противопожарная защита объекта достигается:</w:t>
      </w:r>
    </w:p>
    <w:p>
      <w:pPr>
        <w:pStyle w:val="Normal"/>
        <w:ind w:right="-1" w:firstLine="709"/>
        <w:rPr/>
      </w:pPr>
      <w:r>
        <w:rPr/>
        <w:t>- объемно-планировочными и конструктивными решениями;</w:t>
      </w:r>
    </w:p>
    <w:p>
      <w:pPr>
        <w:pStyle w:val="Normal"/>
        <w:ind w:right="-1" w:firstLine="709"/>
        <w:rPr/>
      </w:pPr>
      <w:r>
        <w:rPr/>
        <w:t>- регламентацией огнестойкости и пожарной опасности строительных конструкций и отделочных материалов.</w:t>
      </w:r>
    </w:p>
    <w:p>
      <w:pPr>
        <w:pStyle w:val="Normal"/>
        <w:ind w:right="-1" w:firstLine="709"/>
        <w:rPr/>
      </w:pPr>
      <w:r>
        <w:rPr/>
        <w:t>Все конструкции здания соответствуют нормативным пределам огнестойкости и обеспечивают II степень огнестойкости.</w:t>
      </w:r>
    </w:p>
    <w:p>
      <w:pPr>
        <w:pStyle w:val="Normal"/>
        <w:ind w:right="-1" w:firstLine="709"/>
        <w:rPr/>
      </w:pPr>
      <w:r>
        <w:rPr/>
        <w:t xml:space="preserve">Лестничная клетка имеет естественное освещение через оконные проёмы площадью не менее 1,2 м2 .Зазор между поручнем ограждений марша и шахтой лифта более 100мм для свободного прохождения пожарного рукава. </w:t>
      </w:r>
    </w:p>
    <w:p>
      <w:pPr>
        <w:pStyle w:val="Normal"/>
        <w:ind w:right="-1" w:firstLine="709"/>
        <w:rPr/>
      </w:pPr>
      <w:r>
        <w:rPr/>
        <w:t>Шахта лифта — кирпичная с пределом огнестойкости более REI 90 с заполнением дверных проемов противопожарными дверями. Выход на кровлю из лестничной клетки предусмотрен по стальной стремянке.</w:t>
      </w:r>
    </w:p>
    <w:p>
      <w:pPr>
        <w:pStyle w:val="Normal"/>
        <w:ind w:right="-1" w:firstLine="709"/>
        <w:rPr/>
      </w:pPr>
      <w:r>
        <w:rPr/>
        <w:t xml:space="preserve">Подвал не имеет сообщения с жилой частью здания и разделен на пожарные отсеки. Каждый пожарный отсек имеет выходы непосредственно наружу. </w:t>
      </w:r>
    </w:p>
    <w:p>
      <w:pPr>
        <w:pStyle w:val="Normal"/>
        <w:ind w:right="-1" w:firstLine="709"/>
        <w:rPr/>
      </w:pPr>
      <w:r>
        <w:rPr/>
        <w:t>Двери технических помещений подвала - противопожарные с пределом огнестойкости EI 30.</w:t>
      </w:r>
    </w:p>
    <w:p>
      <w:pPr>
        <w:pStyle w:val="Normal"/>
        <w:ind w:right="-1" w:firstLine="709"/>
        <w:rPr/>
      </w:pPr>
      <w:r>
        <w:rPr/>
        <w:t>Для защиты от технического шума производственного оборудования ИТП расположенного в подвале, выполнена звукоизоляция потолка.</w:t>
      </w:r>
    </w:p>
    <w:p>
      <w:pPr>
        <w:pStyle w:val="Normal"/>
        <w:ind w:right="-1" w:firstLine="709"/>
        <w:rPr/>
      </w:pPr>
      <w:r>
        <w:rPr/>
        <w:t>Оконные блоки помещений обеспечивают звукоизоляцию от уличного шума.</w:t>
      </w:r>
    </w:p>
    <w:p>
      <w:pPr>
        <w:pStyle w:val="Normal"/>
        <w:ind w:right="-1" w:firstLine="709"/>
        <w:rPr/>
      </w:pPr>
      <w:r>
        <w:rPr/>
        <w:t>Состав полов и примыкания к стенам предусматривают междуэтажную звукоизоляцию.</w:t>
      </w:r>
    </w:p>
    <w:p>
      <w:pPr>
        <w:pStyle w:val="Normal"/>
        <w:ind w:right="-1" w:firstLine="709"/>
        <w:rPr/>
      </w:pPr>
      <w:r>
        <w:rPr/>
      </w:r>
    </w:p>
    <w:p>
      <w:pPr>
        <w:pStyle w:val="Normal"/>
        <w:ind w:right="-1" w:firstLine="709"/>
        <w:rPr>
          <w:i/>
          <w:i/>
        </w:rPr>
      </w:pPr>
      <w:r>
        <w:rPr>
          <w:i/>
        </w:rPr>
        <w:t>Характеристика и обоснование конструкций полов, кровли, подвесных потолков, перегородок, а также отделки помещений</w:t>
      </w:r>
    </w:p>
    <w:p>
      <w:pPr>
        <w:pStyle w:val="Normal"/>
        <w:ind w:right="-1" w:firstLine="709"/>
        <w:rPr>
          <w:i/>
          <w:i/>
        </w:rPr>
      </w:pPr>
      <w:r>
        <w:rPr>
          <w:i/>
        </w:rPr>
      </w:r>
    </w:p>
    <w:p>
      <w:pPr>
        <w:pStyle w:val="Normal"/>
        <w:ind w:right="-1" w:firstLine="709"/>
        <w:rPr>
          <w:u w:val="single"/>
        </w:rPr>
      </w:pPr>
      <w:r>
        <w:rPr>
          <w:u w:val="single"/>
        </w:rPr>
        <w:t>Жилые секции.</w:t>
      </w:r>
    </w:p>
    <w:p>
      <w:pPr>
        <w:pStyle w:val="Normal"/>
        <w:ind w:right="-1" w:firstLine="709"/>
        <w:rPr/>
      </w:pPr>
      <w:r>
        <w:rPr/>
        <w:t>Перегородки межквартирные — сборные железобетонные панели толщиной 160мм, перегородки санузлов — сборные железобетонные панели толщиной 80мм.</w:t>
      </w:r>
    </w:p>
    <w:p>
      <w:pPr>
        <w:pStyle w:val="Normal"/>
        <w:ind w:right="-1" w:firstLine="709"/>
        <w:rPr/>
      </w:pPr>
      <w:r>
        <w:rPr/>
        <w:t>Конструкция кровли:</w:t>
      </w:r>
    </w:p>
    <w:p>
      <w:pPr>
        <w:pStyle w:val="Normal"/>
        <w:ind w:right="-1" w:firstLine="709"/>
        <w:rPr/>
      </w:pPr>
      <w:r>
        <w:rPr/>
        <w:t xml:space="preserve">• </w:t>
      </w:r>
      <w:r>
        <w:rPr/>
        <w:t>1 слой Техноэласта ЭКП;</w:t>
      </w:r>
    </w:p>
    <w:p>
      <w:pPr>
        <w:pStyle w:val="Normal"/>
        <w:ind w:right="-1" w:firstLine="709"/>
        <w:rPr/>
      </w:pPr>
      <w:r>
        <w:rPr/>
        <w:t xml:space="preserve">• </w:t>
      </w:r>
      <w:r>
        <w:rPr/>
        <w:t>1 слой Техноэласта ЭПП;</w:t>
      </w:r>
    </w:p>
    <w:p>
      <w:pPr>
        <w:pStyle w:val="Normal"/>
        <w:ind w:right="-1" w:firstLine="709"/>
        <w:rPr/>
      </w:pPr>
      <w:r>
        <w:rPr/>
        <w:t xml:space="preserve">• </w:t>
      </w:r>
      <w:r>
        <w:rPr/>
        <w:t>Плоские хризоцил-цементные прессованные листы толщиной 10мм Y=1800 кг/м3, уложенные в 2 слоя "вразбежку" и со смещением слоев</w:t>
      </w:r>
    </w:p>
    <w:p>
      <w:pPr>
        <w:pStyle w:val="Normal"/>
        <w:ind w:right="-1" w:firstLine="709"/>
        <w:rPr/>
      </w:pPr>
      <w:r>
        <w:rPr/>
        <w:t xml:space="preserve">• </w:t>
      </w:r>
      <w:r>
        <w:rPr/>
        <w:t>керамзитовый гравий Y=600кг/м3 по уклону hmin = 180мм;</w:t>
      </w:r>
    </w:p>
    <w:p>
      <w:pPr>
        <w:pStyle w:val="Normal"/>
        <w:ind w:right="-1" w:firstLine="709"/>
        <w:rPr/>
      </w:pPr>
      <w:r>
        <w:rPr/>
        <w:t xml:space="preserve">• </w:t>
      </w:r>
      <w:r>
        <w:rPr/>
        <w:t>Пароизоляция - полиэтиленовая пленка толщиной 200 мкм;</w:t>
      </w:r>
    </w:p>
    <w:p>
      <w:pPr>
        <w:pStyle w:val="Normal"/>
        <w:ind w:right="-1" w:firstLine="709"/>
        <w:rPr/>
      </w:pPr>
      <w:r>
        <w:rPr/>
        <w:t xml:space="preserve">• </w:t>
      </w:r>
      <w:r>
        <w:rPr/>
        <w:t>ж/б многопустотная плита перекрытия 220мм.</w:t>
      </w:r>
    </w:p>
    <w:p>
      <w:pPr>
        <w:pStyle w:val="Normal"/>
        <w:ind w:right="-1" w:firstLine="709"/>
        <w:rPr/>
      </w:pPr>
      <w:r>
        <w:rPr/>
        <w:t>Стены внеквартирных коридоров, лестнично-лифтового блока — окраска водоэмульсионной краской.</w:t>
      </w:r>
    </w:p>
    <w:p>
      <w:pPr>
        <w:pStyle w:val="Normal"/>
        <w:ind w:right="-1" w:firstLine="709"/>
        <w:rPr/>
      </w:pPr>
      <w:r>
        <w:rPr/>
        <w:t>Потолки всех помещений с отм. 0.000 - окраска водоэмульсионной краской.</w:t>
      </w:r>
    </w:p>
    <w:p>
      <w:pPr>
        <w:pStyle w:val="Normal"/>
        <w:ind w:right="-1" w:firstLine="709"/>
        <w:rPr/>
      </w:pPr>
      <w:r>
        <w:rPr/>
        <w:t>Отделка стен и потолков технических помещений, расположенных в техподполье,- известковая побелка</w:t>
      </w:r>
    </w:p>
    <w:p>
      <w:pPr>
        <w:pStyle w:val="Normal"/>
        <w:ind w:right="-1" w:firstLine="709"/>
        <w:rPr/>
      </w:pPr>
      <w:r>
        <w:rPr/>
        <w:t>Полы:</w:t>
      </w:r>
    </w:p>
    <w:p>
      <w:pPr>
        <w:pStyle w:val="Normal"/>
        <w:ind w:right="-1" w:firstLine="709"/>
        <w:rPr/>
      </w:pPr>
      <w:r>
        <w:rPr/>
        <w:t>во внеквартирных коридорах, технических помещениях — керамическая плитка с шероховатой поверхностью.</w:t>
      </w:r>
    </w:p>
    <w:p>
      <w:pPr>
        <w:pStyle w:val="Normal"/>
        <w:ind w:right="-1" w:firstLine="709"/>
        <w:rPr>
          <w:u w:val="single"/>
        </w:rPr>
      </w:pPr>
      <w:r>
        <w:rPr>
          <w:u w:val="single"/>
        </w:rPr>
        <w:t>Монолитное здание с нежилыми помещениями (офисами)</w:t>
      </w:r>
    </w:p>
    <w:p>
      <w:pPr>
        <w:pStyle w:val="Normal"/>
        <w:ind w:right="-1" w:firstLine="709"/>
        <w:rPr/>
      </w:pPr>
      <w:r>
        <w:rPr/>
        <w:t>Перегородки лестничных клеток — керамзитобетонные блоки и кирпичные (лестница Н2).</w:t>
      </w:r>
    </w:p>
    <w:p>
      <w:pPr>
        <w:pStyle w:val="Normal"/>
        <w:ind w:right="-1" w:firstLine="709"/>
        <w:rPr/>
      </w:pPr>
      <w:r>
        <w:rPr/>
        <w:t>Конструкция кровли:</w:t>
      </w:r>
    </w:p>
    <w:p>
      <w:pPr>
        <w:pStyle w:val="Normal"/>
        <w:ind w:right="-1" w:firstLine="709"/>
        <w:rPr/>
      </w:pPr>
      <w:r>
        <w:rPr/>
        <w:t xml:space="preserve">• </w:t>
      </w:r>
      <w:r>
        <w:rPr/>
        <w:t>Верхний слой кровельного ковра Техноэласт ЭКП — 4,2мм;</w:t>
      </w:r>
    </w:p>
    <w:p>
      <w:pPr>
        <w:pStyle w:val="Normal"/>
        <w:ind w:right="-1" w:firstLine="709"/>
        <w:rPr/>
      </w:pPr>
      <w:r>
        <w:rPr/>
        <w:t xml:space="preserve">• </w:t>
      </w:r>
      <w:r>
        <w:rPr/>
        <w:t>Нижний слой кровельного ковра Унифлекс ВЕНТ ЭПВ— 2,8мм;</w:t>
      </w:r>
    </w:p>
    <w:p>
      <w:pPr>
        <w:pStyle w:val="Normal"/>
        <w:ind w:right="-1" w:firstLine="709"/>
        <w:rPr/>
      </w:pPr>
      <w:r>
        <w:rPr/>
        <w:t xml:space="preserve">• </w:t>
      </w:r>
      <w:r>
        <w:rPr/>
        <w:t>Праймер битумный ТехноНИКОЛЬ №01</w:t>
      </w:r>
    </w:p>
    <w:p>
      <w:pPr>
        <w:pStyle w:val="Normal"/>
        <w:ind w:right="-1" w:firstLine="709"/>
        <w:rPr/>
      </w:pPr>
      <w:r>
        <w:rPr/>
        <w:t xml:space="preserve">• </w:t>
      </w:r>
      <w:r>
        <w:rPr/>
        <w:t>Плоские хризоцил-цементные прессованные листы толщиной 10мм Y=1800 кг/м3, уложенные в 2 слоя "вразбежку" и со смещением слоев — 20мм;</w:t>
      </w:r>
    </w:p>
    <w:p>
      <w:pPr>
        <w:pStyle w:val="Normal"/>
        <w:ind w:right="-1" w:firstLine="709"/>
        <w:rPr/>
      </w:pPr>
      <w:r>
        <w:rPr/>
        <w:t xml:space="preserve">• </w:t>
      </w:r>
      <w:r>
        <w:rPr/>
        <w:t>Верхний слой теплоизоляции Техноруф В60 — 40мм;</w:t>
      </w:r>
    </w:p>
    <w:p>
      <w:pPr>
        <w:pStyle w:val="Normal"/>
        <w:ind w:right="-1" w:firstLine="709"/>
        <w:rPr/>
      </w:pPr>
      <w:r>
        <w:rPr/>
        <w:t xml:space="preserve">• </w:t>
      </w:r>
      <w:r>
        <w:rPr/>
        <w:t>Нижний слой теплоизоляции Техноруф Н30 — 100мм;</w:t>
      </w:r>
    </w:p>
    <w:p>
      <w:pPr>
        <w:pStyle w:val="Normal"/>
        <w:ind w:right="-1" w:firstLine="709"/>
        <w:rPr/>
      </w:pPr>
      <w:r>
        <w:rPr/>
        <w:t xml:space="preserve">• </w:t>
      </w:r>
      <w:r>
        <w:rPr/>
        <w:t>Пароизоляция Бикроэласт ТПП, уложенная насухо — 2,5мм;</w:t>
      </w:r>
    </w:p>
    <w:p>
      <w:pPr>
        <w:pStyle w:val="Normal"/>
        <w:ind w:right="-1" w:firstLine="709"/>
        <w:rPr/>
      </w:pPr>
      <w:r>
        <w:rPr/>
        <w:t xml:space="preserve">• </w:t>
      </w:r>
      <w:r>
        <w:rPr/>
        <w:t>Керамзитобетон Y=600 кг/м3 — 30мм (min) для создания уклона 0,015;</w:t>
      </w:r>
    </w:p>
    <w:p>
      <w:pPr>
        <w:pStyle w:val="Normal"/>
        <w:ind w:right="-1" w:firstLine="709"/>
        <w:rPr/>
      </w:pPr>
      <w:r>
        <w:rPr/>
        <w:t xml:space="preserve">• </w:t>
      </w:r>
      <w:r>
        <w:rPr/>
        <w:t>ж/б плита покрытия - 160мм.</w:t>
      </w:r>
    </w:p>
    <w:p>
      <w:pPr>
        <w:pStyle w:val="Normal"/>
        <w:ind w:right="-1" w:firstLine="709"/>
        <w:rPr/>
      </w:pPr>
      <w:r>
        <w:rPr/>
        <w:t>Потолки всех помещений с отм. 0.000 - подвесной потолок типа «Армстронг».</w:t>
      </w:r>
    </w:p>
    <w:p>
      <w:pPr>
        <w:pStyle w:val="Normal"/>
        <w:ind w:right="-1" w:firstLine="709"/>
        <w:rPr/>
      </w:pPr>
      <w:r>
        <w:rPr/>
        <w:t>Отделка стен и потолков технических помещений, расположенных в техподполье,- известковая побелка</w:t>
      </w:r>
    </w:p>
    <w:p>
      <w:pPr>
        <w:pStyle w:val="Normal"/>
        <w:ind w:right="-1" w:firstLine="709"/>
        <w:rPr/>
      </w:pPr>
      <w:r>
        <w:rPr/>
        <w:t>Полы:</w:t>
      </w:r>
    </w:p>
    <w:p>
      <w:pPr>
        <w:pStyle w:val="Normal"/>
        <w:ind w:right="-1" w:firstLine="709"/>
        <w:rPr/>
      </w:pPr>
      <w:r>
        <w:rPr/>
        <w:t>в технических помещениях — керамическая плитка с шероховатой поверхностью, в нежилых помещениях (офисах) по заданию заказчика предусмотрено устройство стяжки по плитам перекрытий.</w:t>
      </w:r>
    </w:p>
    <w:p>
      <w:pPr>
        <w:pStyle w:val="Normal"/>
        <w:ind w:right="-1" w:firstLine="709"/>
        <w:rPr/>
      </w:pPr>
      <w:r>
        <w:rPr/>
      </w:r>
    </w:p>
    <w:p>
      <w:pPr>
        <w:pStyle w:val="Normal"/>
        <w:ind w:right="-1" w:firstLine="709"/>
        <w:rPr>
          <w:i/>
          <w:i/>
        </w:rPr>
      </w:pPr>
      <w:r>
        <w:rPr>
          <w:i/>
        </w:rPr>
        <w:t>Перечень мероприятий по защите строительных конструкций и фундаментов от разрушения</w:t>
      </w:r>
    </w:p>
    <w:p>
      <w:pPr>
        <w:pStyle w:val="Normal"/>
        <w:ind w:right="-1" w:firstLine="709"/>
        <w:rPr>
          <w:i/>
          <w:i/>
        </w:rPr>
      </w:pPr>
      <w:r>
        <w:rPr>
          <w:i/>
        </w:rPr>
      </w:r>
    </w:p>
    <w:p>
      <w:pPr>
        <w:pStyle w:val="Normal"/>
        <w:ind w:right="-1" w:firstLine="709"/>
        <w:rPr/>
      </w:pPr>
      <w:r>
        <w:rPr/>
        <w:t>Металлические конструкции, сварные швы, закладные и соединительные изделия окрашиваются эмалью ПФ-115 по ГОСТ6465-76 за два раза по двум слоям грунта ГФ-021 по ГОСТ25129-82.</w:t>
      </w:r>
    </w:p>
    <w:p>
      <w:pPr>
        <w:pStyle w:val="Normal"/>
        <w:ind w:right="-1" w:firstLine="709"/>
        <w:rPr/>
      </w:pPr>
      <w:r>
        <w:rPr/>
        <w:t>Для предохранения от разрушения подземных частей зданий, марки бетона применены по морозостойкости F150, по водонепроницаемости W6 (кроме бетонной подготовки). Поверхности подземных частей зданий, соприкасающиеся с грунтом, обмазываются битумной мастикой по грунтовке праймером.</w:t>
      </w:r>
    </w:p>
    <w:p>
      <w:pPr>
        <w:pStyle w:val="Normal"/>
        <w:ind w:right="-1" w:firstLine="709"/>
        <w:rPr/>
      </w:pPr>
      <w:r>
        <w:rPr/>
        <w:t>Заделка проёмов в стенах подвала предусмотрена из кирпича марки КР-р-по 250х120х65/1НФ/100/2,0/50/ГОСТ 530-2012 на цем.-песчаном растворе М100, F50.</w:t>
      </w:r>
    </w:p>
    <w:p>
      <w:pPr>
        <w:pStyle w:val="Normal"/>
        <w:ind w:right="-1" w:firstLine="709"/>
        <w:rPr/>
      </w:pPr>
      <w:r>
        <w:rPr/>
        <w:t xml:space="preserve">Класс бетона цокольных панелей для секций 6,7 — В15; F150; W6. </w:t>
      </w:r>
    </w:p>
    <w:p>
      <w:pPr>
        <w:pStyle w:val="Normal"/>
        <w:ind w:right="-1" w:firstLine="709"/>
        <w:rPr/>
      </w:pPr>
      <w:r>
        <w:rPr/>
        <w:t>Класс бетона цокольных панелей для секции 8 — В25; F150; W6.</w:t>
      </w:r>
    </w:p>
    <w:p>
      <w:pPr>
        <w:pStyle w:val="Normal"/>
        <w:ind w:right="-1" w:firstLine="709"/>
        <w:rPr/>
      </w:pPr>
      <w:r>
        <w:rPr/>
        <w:t xml:space="preserve"> </w:t>
      </w:r>
    </w:p>
    <w:p>
      <w:pPr>
        <w:pStyle w:val="Normal"/>
        <w:ind w:right="-1" w:firstLine="709"/>
        <w:rPr>
          <w:i/>
          <w:i/>
        </w:rPr>
      </w:pPr>
      <w:r>
        <w:rPr>
          <w:i/>
        </w:rPr>
        <w:t>Описание инженерных решений и сооружений, обеспечивающих защиту территории объекта капитального строительства, отдельных зданий и сооружений объекта капитального строительства, а также персонала и жителей от опасных природных и техногенных процессов.</w:t>
      </w:r>
    </w:p>
    <w:p>
      <w:pPr>
        <w:pStyle w:val="Normal"/>
        <w:ind w:right="-1" w:firstLine="709"/>
        <w:rPr>
          <w:i/>
          <w:i/>
        </w:rPr>
      </w:pPr>
      <w:r>
        <w:rPr>
          <w:i/>
        </w:rPr>
      </w:r>
    </w:p>
    <w:p>
      <w:pPr>
        <w:pStyle w:val="Normal"/>
        <w:ind w:right="-1" w:firstLine="709"/>
        <w:rPr/>
      </w:pPr>
      <w:r>
        <w:rPr/>
        <w:t>Соблюдение всех действующих норм, правил, конструктивных и объемно-планировочных решений обеспечивает защиту персонала и жителей от опасных природных и техногенных процессов.</w:t>
      </w:r>
    </w:p>
    <w:p>
      <w:pPr>
        <w:pStyle w:val="Normal"/>
        <w:widowControl/>
        <w:ind w:right="-1" w:firstLine="709"/>
        <w:rPr>
          <w:b/>
          <w:b/>
          <w:i/>
          <w:i/>
          <w:sz w:val="28"/>
          <w:szCs w:val="28"/>
          <w:u w:val="single"/>
        </w:rPr>
      </w:pPr>
      <w:r>
        <w:rPr>
          <w:b/>
          <w:i/>
          <w:sz w:val="28"/>
          <w:szCs w:val="28"/>
          <w:u w:val="single"/>
        </w:rPr>
      </w:r>
    </w:p>
    <w:p>
      <w:pPr>
        <w:pStyle w:val="Normal"/>
        <w:widowControl/>
        <w:ind w:right="-1" w:firstLine="709"/>
        <w:rPr>
          <w:rFonts w:eastAsia="Times New Roman"/>
          <w:b/>
          <w:b/>
          <w:color w:val="000000" w:themeColor="text1"/>
          <w:highlight w:val="yellow"/>
        </w:rPr>
      </w:pPr>
      <w:r>
        <w:rPr>
          <w:rFonts w:eastAsia="Times New Roman"/>
          <w:b/>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3.2.4. Сведения об инженерном оборудовании, о сетях инженерно-технического обеспечения, перечень инженерно-технических мероприятий, содержание технологических решений</w:t>
      </w:r>
    </w:p>
    <w:p>
      <w:pPr>
        <w:pStyle w:val="Normal"/>
        <w:widowControl/>
        <w:ind w:right="-1" w:firstLine="709"/>
        <w:rPr>
          <w:rFonts w:eastAsia="Times New Roman"/>
          <w:b/>
          <w:b/>
          <w:color w:val="000000" w:themeColor="text1"/>
        </w:rPr>
      </w:pPr>
      <w:r>
        <w:rPr>
          <w:rFonts w:eastAsia="Times New Roman"/>
          <w:b/>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3.2.4.1. Система электроснабжения</w:t>
      </w:r>
    </w:p>
    <w:p>
      <w:pPr>
        <w:pStyle w:val="Normal"/>
        <w:ind w:right="-1" w:firstLine="709"/>
        <w:rPr>
          <w:color w:val="000000" w:themeColor="text1"/>
        </w:rPr>
      </w:pPr>
      <w:r>
        <w:rPr>
          <w:color w:val="000000" w:themeColor="text1"/>
        </w:rPr>
      </w:r>
    </w:p>
    <w:p>
      <w:pPr>
        <w:pStyle w:val="Normal"/>
        <w:widowControl/>
        <w:spacing w:lineRule="auto" w:line="360"/>
        <w:ind w:right="-1" w:firstLine="709"/>
        <w:rPr>
          <w:rFonts w:ascii="Times New Roman CYR" w:hAnsi="Times New Roman CYR" w:cs="Times New Roman CYR"/>
          <w:b/>
          <w:b/>
          <w:bCs/>
          <w:u w:val="single"/>
        </w:rPr>
      </w:pPr>
      <w:r>
        <w:rPr>
          <w:b/>
          <w:bCs/>
        </w:rPr>
        <w:t xml:space="preserve">      </w:t>
      </w:r>
      <w:r>
        <w:rPr>
          <w:b/>
          <w:bCs/>
          <w:u w:val="single"/>
        </w:rPr>
        <w:t xml:space="preserve">1 </w:t>
      </w:r>
      <w:r>
        <w:rPr>
          <w:rFonts w:cs="Times New Roman CYR" w:ascii="Times New Roman CYR" w:hAnsi="Times New Roman CYR"/>
          <w:b/>
          <w:bCs/>
          <w:u w:val="single"/>
        </w:rPr>
        <w:t>этап строительства</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Настоящий раздел проектной документации разработан на основании технических условий №ТУ 29Э/15 от 15.04.2015г., выданных ЗАО </w:t>
      </w:r>
      <w:r>
        <w:rPr/>
        <w:t>«</w:t>
      </w:r>
      <w:r>
        <w:rPr>
          <w:rFonts w:cs="Times New Roman CYR" w:ascii="Times New Roman CYR" w:hAnsi="Times New Roman CYR"/>
        </w:rPr>
        <w:t>Самарская сетевая компания</w:t>
      </w:r>
      <w:r>
        <w:rPr/>
        <w:t xml:space="preserve">» </w:t>
      </w:r>
      <w:r>
        <w:rPr>
          <w:rFonts w:cs="Times New Roman CYR" w:ascii="Times New Roman CYR" w:hAnsi="Times New Roman CYR"/>
        </w:rPr>
        <w:t>и заданий от смежных отделов.</w:t>
      </w:r>
    </w:p>
    <w:p>
      <w:pPr>
        <w:pStyle w:val="Normal"/>
        <w:widowControl/>
        <w:tabs>
          <w:tab w:val="left" w:pos="-426" w:leader="none"/>
        </w:tabs>
        <w:ind w:right="-1" w:firstLine="709"/>
        <w:rPr/>
      </w:pPr>
      <w:r>
        <w:rPr>
          <w:rFonts w:cs="Times New Roman CYR" w:ascii="Times New Roman CYR" w:hAnsi="Times New Roman CYR"/>
        </w:rPr>
        <w:t>Для приема электроэнергии и распределения ее по потребителям многоквартирного многоэтажного жилого дома по ул. Юбилейной в Автозаводском районе г. Тольятти предусмотрены два вводно-распределительных устройства 1ВРУ, 2ВРУ, устанавливаемые в помещениях электрощитовых секций 2 и 5 соответственно.</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Подключение каждого вводно-распределительного устройства к наружным электрическим сетям выполнено двумя взаиморезервируемыми кабельными линиями с разных секций действующей трансформаторной подстанции ТП-10/0,4кВ/2x1250кВА.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Для электроснабжения жилого дома с электропиемниками первой и второй категории  надежности электроснабжения принята радиальная схема с разных шин трансформаторной  подстанции с АВР на вводе 1ВРУ и 2ВРУ для электроприемников первой категории.</w:t>
      </w:r>
    </w:p>
    <w:p>
      <w:pPr>
        <w:pStyle w:val="Normal"/>
        <w:widowControl/>
        <w:tabs>
          <w:tab w:val="left" w:pos="-426" w:leader="none"/>
        </w:tabs>
        <w:ind w:right="-1" w:firstLine="709"/>
        <w:rPr>
          <w:rFonts w:ascii="Times New Roman CYR" w:hAnsi="Times New Roman CYR" w:cs="Times New Roman CYR"/>
          <w:b/>
          <w:b/>
          <w:bCs/>
        </w:rPr>
      </w:pPr>
      <w:r>
        <w:rPr>
          <w:rFonts w:cs="Times New Roman CYR" w:ascii="Times New Roman CYR" w:hAnsi="Times New Roman CYR"/>
        </w:rPr>
        <w:t>Основными потребителями электрической энергии жилого дома являются: электрическое освещение, электробытовые приборы, электроприемники сантехнического и технологического оборудования, электроприводы лифтов.</w:t>
      </w:r>
      <w:r>
        <w:rPr>
          <w:rFonts w:cs="Times New Roman CYR" w:ascii="Times New Roman CYR" w:hAnsi="Times New Roman CYR"/>
          <w:b/>
          <w:bCs/>
        </w:rPr>
        <w:t xml:space="preserve">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Основные технико-экономические показатели и расчетные нагрузки проектируемой системы электроснабжения жилого дома:</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категория электроснабжения — II;</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сеть низкого напряжения — 0,4 кВ;</w:t>
      </w:r>
    </w:p>
    <w:p>
      <w:pPr>
        <w:pStyle w:val="Normal"/>
        <w:widowControl/>
        <w:tabs>
          <w:tab w:val="left" w:pos="-426" w:leader="none"/>
        </w:tabs>
        <w:ind w:right="-1" w:firstLine="709"/>
        <w:rPr>
          <w:rFonts w:ascii="Times New Roman CYR" w:hAnsi="Times New Roman CYR" w:cs="Times New Roman CYR"/>
          <w:color w:val="000000"/>
        </w:rPr>
      </w:pPr>
      <w:r>
        <w:rPr/>
        <w:t xml:space="preserve">- </w:t>
      </w:r>
      <w:r>
        <w:rPr>
          <w:rFonts w:cs="Times New Roman CYR" w:ascii="Times New Roman CYR" w:hAnsi="Times New Roman CYR"/>
        </w:rPr>
        <w:t xml:space="preserve">суммарная расчетная электрическая нагрузка 1ВРУ — </w:t>
      </w:r>
      <w:r>
        <w:rPr>
          <w:rFonts w:cs="Times New Roman CYR" w:ascii="Times New Roman CYR" w:hAnsi="Times New Roman CYR"/>
          <w:color w:val="000000"/>
        </w:rPr>
        <w:t>146 кВт;</w:t>
      </w:r>
    </w:p>
    <w:p>
      <w:pPr>
        <w:pStyle w:val="Normal"/>
        <w:widowControl/>
        <w:tabs>
          <w:tab w:val="left" w:pos="-426" w:leader="none"/>
        </w:tabs>
        <w:ind w:right="-1" w:firstLine="709"/>
        <w:rPr>
          <w:rFonts w:ascii="Times New Roman CYR" w:hAnsi="Times New Roman CYR" w:cs="Times New Roman CYR"/>
        </w:rPr>
      </w:pPr>
      <w:r>
        <w:rPr>
          <w:color w:val="000000"/>
        </w:rPr>
        <w:t xml:space="preserve">- </w:t>
      </w:r>
      <w:r>
        <w:rPr>
          <w:rFonts w:cs="Times New Roman CYR" w:ascii="Times New Roman CYR" w:hAnsi="Times New Roman CYR"/>
          <w:color w:val="000000"/>
        </w:rPr>
        <w:t xml:space="preserve">суммарная расчетная электрическая нагрузка 2ВРУ — 187,7 </w:t>
      </w:r>
      <w:r>
        <w:rPr>
          <w:rFonts w:cs="Times New Roman CYR" w:ascii="Times New Roman CYR" w:hAnsi="Times New Roman CYR"/>
        </w:rPr>
        <w:t>кВт;</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 xml:space="preserve">суммарная расчетная электрическая нагрузка здания по 1-ому этапу строительства на шинах ТП — </w:t>
      </w:r>
      <w:r>
        <w:rPr>
          <w:rFonts w:cs="Times New Roman CYR" w:ascii="Times New Roman CYR" w:hAnsi="Times New Roman CYR"/>
          <w:color w:val="000000"/>
        </w:rPr>
        <w:t>298,2</w:t>
      </w:r>
      <w:r>
        <w:rPr>
          <w:rFonts w:cs="Times New Roman CYR" w:ascii="Times New Roman CYR" w:hAnsi="Times New Roman CYR"/>
        </w:rPr>
        <w:t xml:space="preserve"> кВт;</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среднее значение cosф=0,96 (tgф=0,3);</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система заземления TN-C-S;</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учет электроэнергии на вводе - счетчиками класса точности 0,5S;</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учет электроэнергии у абонентов - счетчиками класса точности 1,0.</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По степени надежности электроснабжения электроприемники жилого дома относятся:</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к I категории - лифты, аварийное освещение, встроенный индивидуальный тепловой пункт (ИТП);</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ко II категории – остальные электроприемники.</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rPr>
        <w:t xml:space="preserve">Для ввода, учёта и распределения электроэнергии жилого дома предусмотрены вводно-распределительные устройства 1ВРУ и 2ВРУ, размещаемые в электрощитовых помещениях </w:t>
      </w:r>
      <w:r>
        <w:rPr>
          <w:rFonts w:cs="Times New Roman CYR" w:ascii="Times New Roman CYR" w:hAnsi="Times New Roman CYR"/>
          <w:color w:val="00000A"/>
        </w:rPr>
        <w:t xml:space="preserve">в подвальном этаже здания на отм.-2.500.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Коммерческий учет электроэнергии организован на каждом вводе 1ВРУ и 2ВРУ, а также в 1АВР и 2АВР. Для коммерческого учета предусмотрены многотарифные электронные счетчики трансформаторного включения. Учет электроэнергии поквартирно организован на этажных распределительных устройствах на вводе в каждую квартиру электронными однофазными многотарифными счетчиками прямого включения.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Защита от перегрузки и токов КЗ электрических сетей ~380/220В мест общего пользования жилого дома осуществлена автоматическими выключателями. Электрические щиты выполнены в металлических корпусах серии ЩРн, ЩМП  и имеют необходимый комплект пуско-защитной аппаратуры.</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Защита и питание электрических сетей квартир, учет расхода электроэнергии в квартирах осуществлен с помощью этажных учетно-распределительных устройств типа УЭРМ.</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rPr>
        <w:t>В начале каждого стояка установлен аппарат защиты и отключения стояка. Этажные учетно-распределительные устройства имеют отдельную секцию для размещения слаботочных устройств.</w:t>
      </w:r>
      <w:r>
        <w:rPr>
          <w:color w:val="00000A"/>
        </w:rPr>
        <w:t xml:space="preserve"> </w:t>
      </w:r>
      <w:r>
        <w:rPr>
          <w:rFonts w:cs="Times New Roman CYR" w:ascii="Times New Roman CYR" w:hAnsi="Times New Roman CYR"/>
        </w:rPr>
        <w:t xml:space="preserve">Проектной документацией предусмотрено автоматическое отключение вентсистем в случае возникновения пожара по сигналу системы пожарной сигнализации </w:t>
      </w:r>
      <w:r>
        <w:rPr>
          <w:rFonts w:cs="Times New Roman CYR" w:ascii="Times New Roman CYR" w:hAnsi="Times New Roman CYR"/>
          <w:color w:val="00000A"/>
        </w:rPr>
        <w:t xml:space="preserve">независимым расцепителем вводного автоматического выключателя щитов питания общеобменной вентиляции 1ШРВ, 2ШРВ.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В качестве пусковой и защитной аппаратуры, не поставляемой комплектно с сантехническим оборудованием, приняты магнитные пускатели серии ПМЛ. Для снятия напряжения с лифтовых установок в машинном отделении лифтов устанавливаются силовые ящики серии ЯВЗ.</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Учет электроэнергии осуществлен в соответствии с ПУЭ и СП 31-110-2003.</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На вводно-распределительных устройствах жилого дома установлены трехфазные счетчики Меркурий 230 ART03 PQRSIDN трансформаторного включения класса точности 0,5S, на линиях к общедомовым потребителям – счетчики Меркурий 230 ART01 PQСSIN класса точности 1S прямого включения, в этажных щитках на линиях к квартирам – однофазные многотарифные счетчики серии СЕ-102 класса точности 1,0. Трансформаторы тока имеют класс точности 0,5, коэффициенты трансформации рассчитаны с учетом требований ПУЭ, п.1.5.17.</w:t>
      </w:r>
    </w:p>
    <w:p>
      <w:pPr>
        <w:pStyle w:val="Normal"/>
        <w:widowControl/>
        <w:tabs>
          <w:tab w:val="left" w:pos="-426" w:leader="none"/>
        </w:tabs>
        <w:ind w:right="-1" w:firstLine="709"/>
        <w:rPr>
          <w:rFonts w:ascii="Times New Roman CYR" w:hAnsi="Times New Roman CYR" w:cs="Times New Roman CYR"/>
        </w:rPr>
      </w:pPr>
      <w:r>
        <w:rPr/>
        <w:t>Проектом предусмотрена э</w:t>
      </w:r>
      <w:r>
        <w:rPr>
          <w:rFonts w:cs="Times New Roman CYR" w:ascii="Times New Roman CYR" w:hAnsi="Times New Roman CYR"/>
        </w:rPr>
        <w:t xml:space="preserve">кономия электроэнергии. </w:t>
      </w:r>
    </w:p>
    <w:p>
      <w:pPr>
        <w:pStyle w:val="Normal"/>
        <w:widowControl/>
        <w:tabs>
          <w:tab w:val="left" w:pos="-426" w:leader="none"/>
          <w:tab w:val="left" w:pos="2463" w:leader="none"/>
        </w:tabs>
        <w:ind w:right="-1" w:firstLine="709"/>
        <w:rPr>
          <w:rFonts w:ascii="Times New Roman CYR" w:hAnsi="Times New Roman CYR" w:cs="Times New Roman CYR"/>
          <w:color w:val="00000A"/>
        </w:rPr>
      </w:pPr>
      <w:r>
        <w:rPr>
          <w:rFonts w:cs="Times New Roman CYR" w:ascii="Times New Roman CYR" w:hAnsi="Times New Roman CYR"/>
          <w:color w:val="00000A"/>
        </w:rPr>
        <w:t xml:space="preserve">Для обеспечения безопасной эксплуатации электропотребителей в проектной документации предусмотрено устройство защитного заземления и зануления. Защитное заземление и зануление запроектировано в соответствии с требованиями ГОСТ Р 50571.5.54-2013 </w:t>
      </w:r>
      <w:r>
        <w:rPr>
          <w:color w:val="00000A"/>
        </w:rPr>
        <w:t>«</w:t>
      </w:r>
      <w:r>
        <w:rPr>
          <w:rFonts w:cs="Times New Roman CYR" w:ascii="Times New Roman CYR" w:hAnsi="Times New Roman CYR"/>
          <w:color w:val="00000A"/>
        </w:rPr>
        <w:t>Заземляющие устройства, защитные проводники и защитные проводники уравнивания потенциалов</w:t>
      </w:r>
      <w:r>
        <w:rPr>
          <w:color w:val="00000A"/>
        </w:rPr>
        <w:t xml:space="preserve">», </w:t>
      </w:r>
      <w:r>
        <w:rPr>
          <w:rFonts w:cs="Times New Roman CYR" w:ascii="Times New Roman CYR" w:hAnsi="Times New Roman CYR"/>
          <w:color w:val="00000A"/>
        </w:rPr>
        <w:t xml:space="preserve">А10-93 </w:t>
      </w:r>
      <w:r>
        <w:rPr>
          <w:color w:val="00000A"/>
        </w:rPr>
        <w:t>«</w:t>
      </w:r>
      <w:r>
        <w:rPr>
          <w:rFonts w:cs="Times New Roman CYR" w:ascii="Times New Roman CYR" w:hAnsi="Times New Roman CYR"/>
          <w:color w:val="00000A"/>
        </w:rPr>
        <w:t>Защитное заземление и зануление электрооборудования</w:t>
      </w:r>
      <w:r>
        <w:rPr>
          <w:color w:val="00000A"/>
        </w:rPr>
        <w:t xml:space="preserve">», </w:t>
      </w:r>
      <w:r>
        <w:rPr>
          <w:rFonts w:cs="Times New Roman CYR" w:ascii="Times New Roman CYR" w:hAnsi="Times New Roman CYR"/>
          <w:color w:val="00000A"/>
        </w:rPr>
        <w:t>"Правил устройства электроустановок" изд.7.</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Проектом предусмотрена система заземления ТN-C-S с разделением нулевого рабочего (N) и нулевого защитного (РЕ) проводников. Разделение проводника PEN на PE и N предусмотрено на вводе сетей 0,4кВ в здание.</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На вводе питающих кабелей в здание предусмотрен контур повторного заземления нулевого провода, состоящий из вертикальных электродов (уголок горячего оцинкования 5х50х50, L=3м), соединенных между собой горизонтальным заземлителем (стальная оцинкованная полоса 5x30мм), проложенным на глубине 0,7 м от поверхности земли.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Для заземления электрооборудования в электрощитовых, машинных отделениях лифтов, ИТП, насосной и водомерном узле предусмотрена открытая прокладка по стенам указанных помещений заземляющего проводника из полосовой стали 4х25 мм, присоединенного к контуру повторного заземления нулевого провода.</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Согласно ПУЭ п.1.7.82 проектом предусмотрено устройство главной системы уравнивания потенциалов путем объединения на вводе следующих проводящих частей:</w:t>
      </w:r>
    </w:p>
    <w:p>
      <w:pPr>
        <w:pStyle w:val="Normal"/>
        <w:widowControl/>
        <w:tabs>
          <w:tab w:val="left" w:pos="-426" w:leader="none"/>
        </w:tabs>
        <w:ind w:right="-1" w:firstLine="709"/>
        <w:rPr>
          <w:rFonts w:ascii="Times New Roman CYR" w:hAnsi="Times New Roman CYR" w:cs="Times New Roman CYR"/>
        </w:rPr>
      </w:pPr>
      <w:r>
        <w:rPr/>
        <w:t xml:space="preserve">- </w:t>
      </w:r>
      <w:r>
        <w:rPr>
          <w:lang w:val="en-US"/>
        </w:rPr>
        <w:t>PEN</w:t>
      </w:r>
      <w:r>
        <w:rPr/>
        <w:t>-</w:t>
      </w:r>
      <w:r>
        <w:rPr>
          <w:rFonts w:cs="Times New Roman CYR" w:ascii="Times New Roman CYR" w:hAnsi="Times New Roman CYR"/>
        </w:rPr>
        <w:t>проводник;</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заземляющий проводник, присоединенный к заземлителю повторного заземления на вводе в здание;</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металлические трубы горячего и холодного водоснабжения, канализации, отопления;</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металлические части каркаса здания, направляющие лифтов, металлические ограждения лифтовых шахт и т.п.;</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заземляющее устройство молниезащиты;</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металлические оболочки телекоммуникационных кабелей.</w:t>
      </w:r>
    </w:p>
    <w:p>
      <w:pPr>
        <w:pStyle w:val="Normal"/>
        <w:widowControl/>
        <w:tabs>
          <w:tab w:val="left" w:pos="-426" w:leader="none"/>
        </w:tabs>
        <w:ind w:right="-1" w:firstLine="709"/>
        <w:rPr>
          <w:rFonts w:ascii="Times New Roman CYR" w:hAnsi="Times New Roman CYR" w:cs="Times New Roman CYR"/>
          <w:color w:val="000000"/>
        </w:rPr>
      </w:pPr>
      <w:r>
        <w:rPr>
          <w:rFonts w:cs="Times New Roman CYR" w:ascii="Times New Roman CYR" w:hAnsi="Times New Roman CYR"/>
          <w:color w:val="00000A"/>
        </w:rPr>
        <w:t>В данной электроустановке предусмотрена главная заземляющая шина (ГЗШ).</w:t>
      </w:r>
      <w:r>
        <w:rPr>
          <w:rFonts w:cs="Times New Roman CYR" w:ascii="Times New Roman CYR" w:hAnsi="Times New Roman CYR"/>
        </w:rPr>
        <w:t xml:space="preserve"> Все указанные выше части присоединены к главной заземляющей шине при помощи проводников системы уравнивания потенциалов с возможностью их индивидуального отсоединения при помощи инструмента. Проводящие части, входящие в здание извне, соединены в точках их ввода в здание. </w:t>
      </w:r>
      <w:r>
        <w:rPr>
          <w:rFonts w:cs="Times New Roman CYR" w:ascii="Times New Roman CYR" w:hAnsi="Times New Roman CYR"/>
          <w:color w:val="000000"/>
        </w:rPr>
        <w:t>Все ГЗШ соединены между собой, связь ГЗШ разных вводов осуществлена через общее заземляющее устройство.</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Для уравнивания потенциалов в ванных комнатах квартир предусмотрены шины дополнительного уравнивания потенциалов.</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 xml:space="preserve">Молниезащита здания выполнена в соответствии с требованиями РД 34.21.122-87 </w:t>
      </w:r>
      <w:r>
        <w:rPr>
          <w:color w:val="00000A"/>
        </w:rPr>
        <w:t>«</w:t>
      </w:r>
      <w:r>
        <w:rPr>
          <w:rFonts w:cs="Times New Roman CYR" w:ascii="Times New Roman CYR" w:hAnsi="Times New Roman CYR"/>
          <w:color w:val="00000A"/>
        </w:rPr>
        <w:t>Инструкция по устройству молниезащиты зданий и сооружений</w:t>
      </w:r>
      <w:r>
        <w:rPr>
          <w:color w:val="00000A"/>
        </w:rPr>
        <w:t xml:space="preserve">» </w:t>
      </w:r>
      <w:r>
        <w:rPr>
          <w:rFonts w:cs="Times New Roman CYR" w:ascii="Times New Roman CYR" w:hAnsi="Times New Roman CYR"/>
          <w:color w:val="00000A"/>
        </w:rPr>
        <w:t xml:space="preserve">и СО153-34.21.122-2003 </w:t>
      </w:r>
      <w:r>
        <w:rPr>
          <w:color w:val="00000A"/>
        </w:rPr>
        <w:t>«</w:t>
      </w:r>
      <w:r>
        <w:rPr>
          <w:rFonts w:cs="Times New Roman CYR" w:ascii="Times New Roman CYR" w:hAnsi="Times New Roman CYR"/>
          <w:color w:val="00000A"/>
        </w:rPr>
        <w:t>Инструкция по устройству молниезащиты зданий, сооружений и промышленных коммуникаций</w:t>
      </w:r>
      <w:r>
        <w:rPr>
          <w:color w:val="00000A"/>
        </w:rPr>
        <w:t xml:space="preserve">». </w:t>
      </w:r>
      <w:r>
        <w:rPr>
          <w:rFonts w:cs="Times New Roman CYR" w:ascii="Times New Roman CYR" w:hAnsi="Times New Roman CYR"/>
          <w:color w:val="00000A"/>
        </w:rPr>
        <w:t>Допустимый уровень надежности защиты от прямых ударов молнии (ПУМ) принят III, надёжность</w:t>
      </w:r>
      <w:r>
        <w:rPr>
          <w:rFonts w:cs="Times New Roman CYR" w:ascii="Times New Roman CYR" w:hAnsi="Times New Roman CYR"/>
          <w:color w:val="00000A"/>
          <w:sz w:val="28"/>
          <w:szCs w:val="28"/>
        </w:rPr>
        <w:t xml:space="preserve"> </w:t>
      </w:r>
      <w:r>
        <w:rPr>
          <w:rFonts w:cs="Times New Roman CYR" w:ascii="Times New Roman CYR" w:hAnsi="Times New Roman CYR"/>
          <w:color w:val="00000A"/>
        </w:rPr>
        <w:t>защиты от ПУМ - 0,9.</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Защита здания от прямых ударов молнии выполнена путем наложения молниеприемной сетки на строительные конструкции кровли. Молниеприемная сетка выполнена из круглой стали диаметром 8 мм с шагом ячеек 10х10 м и с помощью токоотводов из стальной оцинкованной полосы 4х25 мм соединена с заземлителями молниезащиты. Все выступающие над кровлей металлические элементы (трубы, шахты, вент.устройства, стремянка, металлические ограждения кровли и т.</w:t>
      </w:r>
      <w:r>
        <w:rPr>
          <w:lang w:val="en-US"/>
        </w:rPr>
        <w:t> </w:t>
      </w:r>
      <w:r>
        <w:rPr>
          <w:rFonts w:cs="Times New Roman CYR" w:ascii="Times New Roman CYR" w:hAnsi="Times New Roman CYR"/>
        </w:rPr>
        <w:t>д.) присоединены к молниеприемной сетке, а выступающие неметаллические элементы оборудованы дополнительным молниеприемником, присоединенным к молниеприменой сетке. Токоотводы  соединены между собой горизонтальными поясами из стальной оцинкованной полосы 4х25мм по высоте здания с шагом не более 20м. Система молниезащиты присоединена к системе уравнивания потенциалов.</w:t>
      </w:r>
    </w:p>
    <w:p>
      <w:pPr>
        <w:pStyle w:val="Normal"/>
        <w:widowControl/>
        <w:tabs>
          <w:tab w:val="left" w:pos="-426" w:leader="none"/>
        </w:tabs>
        <w:ind w:right="-1" w:firstLine="709"/>
        <w:rPr>
          <w:rFonts w:ascii="Times New Roman CYR" w:hAnsi="Times New Roman CYR" w:cs="Times New Roman CYR"/>
          <w:b/>
          <w:b/>
          <w:bCs/>
        </w:rPr>
      </w:pPr>
      <w:r>
        <w:rPr>
          <w:rFonts w:cs="Times New Roman CYR" w:ascii="Times New Roman CYR" w:hAnsi="Times New Roman CYR"/>
          <w:color w:val="000000"/>
        </w:rPr>
        <w:t>Проектируемые внутриплощадочные сети 0,4 кВ запроектированы кабельными взаиморезервируемыми. К прокладке принят кабель с алюминиевыми жилами марки АВБШв-1,0кВ.</w:t>
      </w:r>
      <w:r>
        <w:rPr>
          <w:rFonts w:cs="Times New Roman CYR" w:ascii="Times New Roman CYR" w:hAnsi="Times New Roman CYR"/>
          <w:color w:val="FF0000"/>
        </w:rPr>
        <w:t xml:space="preserve"> </w:t>
      </w:r>
      <w:r>
        <w:rPr>
          <w:rFonts w:cs="Times New Roman CYR" w:ascii="Times New Roman CYR" w:hAnsi="Times New Roman CYR"/>
          <w:color w:val="000000"/>
        </w:rPr>
        <w:t>Сечения жил силовых кабелей выбраны по длительно-допустимому току нагрузки в нормальном, аварийном и послеаварийном режимах с учетом поправочного коэффициента на число кабелей, работающих в одной траншее, и проверены на потерю напряжения и на срабатывание аппаратов защиты при однофазном коротком замыкании в конце линии.</w:t>
      </w:r>
    </w:p>
    <w:p>
      <w:pPr>
        <w:pStyle w:val="Normal"/>
        <w:widowControl/>
        <w:tabs>
          <w:tab w:val="left" w:pos="-426" w:leader="none"/>
        </w:tabs>
        <w:ind w:right="-1" w:firstLine="709"/>
        <w:rPr>
          <w:rFonts w:ascii="Times New Roman CYR" w:hAnsi="Times New Roman CYR" w:cs="Times New Roman CYR"/>
          <w:color w:val="000000"/>
        </w:rPr>
      </w:pPr>
      <w:r>
        <w:rPr>
          <w:rFonts w:cs="Times New Roman CYR" w:ascii="Times New Roman CYR" w:hAnsi="Times New Roman CYR"/>
          <w:color w:val="000000"/>
        </w:rPr>
        <w:t xml:space="preserve">Кабели в траншее проложены на глубине 0,7 м от планировочной отметки земли. </w:t>
      </w:r>
      <w:r>
        <w:rPr>
          <w:rFonts w:cs="Times New Roman CYR" w:ascii="Times New Roman CYR" w:hAnsi="Times New Roman CYR"/>
        </w:rPr>
        <w:t>В местах пересечения</w:t>
      </w:r>
      <w:r>
        <w:rPr>
          <w:rFonts w:cs="Times New Roman CYR" w:ascii="Times New Roman CYR" w:hAnsi="Times New Roman CYR"/>
          <w:highlight w:val="white"/>
        </w:rPr>
        <w:t xml:space="preserve"> с инженерными коммуникациями и автомобильными дорогами кабели проложены в жестких двустенных ПНД-трубах. </w:t>
      </w:r>
      <w:r>
        <w:rPr>
          <w:rFonts w:cs="Times New Roman CYR" w:ascii="Times New Roman CYR" w:hAnsi="Times New Roman CYR"/>
          <w:color w:val="000000"/>
        </w:rPr>
        <w:t xml:space="preserve">Вводы кабелей в жилой дом выполнены в хризотилцементных трубах с уплотнением в соответствии с типовой серией 5.905-26.04. В связи со стеснёнными условиями прокладки наружных инженерных коммуникаций прокладка кабелей 0,4кВ от вводов до вводно-распределительных устройств жилого дома выполнена по кабельным конструкциям в подвалах секций здания. </w:t>
      </w:r>
    </w:p>
    <w:p>
      <w:pPr>
        <w:pStyle w:val="Normal"/>
        <w:widowControl/>
        <w:tabs>
          <w:tab w:val="left" w:pos="-426" w:leader="none"/>
        </w:tabs>
        <w:ind w:right="-1" w:firstLine="709"/>
        <w:rPr>
          <w:color w:val="000000"/>
        </w:rPr>
      </w:pPr>
      <w:r>
        <w:rPr>
          <w:rFonts w:cs="Times New Roman CYR" w:ascii="Times New Roman CYR" w:hAnsi="Times New Roman CYR"/>
          <w:color w:val="000000"/>
        </w:rPr>
        <w:t xml:space="preserve">Запроектированные кабели соответствуют требованиям ГОСТ 31565-2012 </w:t>
      </w:r>
      <w:r>
        <w:rPr>
          <w:color w:val="000000"/>
        </w:rPr>
        <w:t>«</w:t>
      </w:r>
      <w:r>
        <w:rPr>
          <w:rFonts w:cs="Times New Roman CYR" w:ascii="Times New Roman CYR" w:hAnsi="Times New Roman CYR"/>
          <w:color w:val="000000"/>
        </w:rPr>
        <w:t>Кабельные изделия. Требования пожарной безопасности</w:t>
      </w:r>
      <w:r>
        <w:rPr>
          <w:color w:val="000000"/>
        </w:rPr>
        <w:t xml:space="preserve">».      </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Трехфазные питающие и распределительные линии предусмотрены пятипроводными, однофазные групповые линии - трехпроводными.</w:t>
      </w:r>
    </w:p>
    <w:p>
      <w:pPr>
        <w:pStyle w:val="Normal"/>
        <w:widowControl/>
        <w:tabs>
          <w:tab w:val="left" w:pos="-426" w:leader="none"/>
          <w:tab w:val="left" w:pos="165" w:leader="none"/>
          <w:tab w:val="left" w:pos="2685" w:leader="none"/>
        </w:tabs>
        <w:ind w:right="-1" w:firstLine="709"/>
        <w:rPr>
          <w:rFonts w:ascii="Times New Roman CYR" w:hAnsi="Times New Roman CYR" w:cs="Times New Roman CYR"/>
        </w:rPr>
      </w:pPr>
      <w:r>
        <w:rPr>
          <w:rFonts w:cs="Times New Roman CYR" w:ascii="Times New Roman CYR" w:hAnsi="Times New Roman CYR"/>
          <w:color w:val="00000A"/>
        </w:rPr>
        <w:t xml:space="preserve">Сечения кабельных линий запроектированы из условий длительно допустимой токовой нагрузки, допустимых потерь напряжения и допустимого времени срабатывания аппаратов </w:t>
      </w:r>
      <w:r>
        <w:rPr>
          <w:rFonts w:cs="Times New Roman CYR" w:ascii="Times New Roman CYR" w:hAnsi="Times New Roman CYR"/>
        </w:rPr>
        <w:t xml:space="preserve">  </w:t>
      </w:r>
      <w:r>
        <w:rPr>
          <w:rFonts w:cs="Times New Roman CYR" w:ascii="Times New Roman CYR" w:hAnsi="Times New Roman CYR"/>
          <w:color w:val="00000A"/>
        </w:rPr>
        <w:t>защиты при однофазном коротком замыкании.</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Силовые и осветительные сети предусмотрены кабелями и проводами с медными жилами. Внутренние питающие, распределительные и групповые сети выполнены кабелем марки ВВГнг(А)-LS, прокладываемым:</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в подвалах и технических чердаках – кабелем марки ВВГнг(А)-LS открыто в лотках по кабельным конструкциям, а также по стенам и перекрытиям в жестких ПВХ-трубах с креплением накладными скобами;</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вертикальные участки питающих линий квартир (стояки) - открыто кабелем марки ВВГнг(А)-LS в пристенных металлических коробах этажных распределительных устройств;</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поэтажные разводки групповых сетей освещения мест общего пользования -  кабелем марки ВВГнг(А)-LS, прокладываемым в подготовке пола вышележащего этажа, на вертикальных участках - в каналах строительных конструкций;</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групповые сети в квартирах – кабелем марки ВВГнг(А)-LS, прокладываемым в ПВХ-трубах в полу данного (розеточные сети) и вышележащего (осветительные сети) этажа, ответвления электропроводок к выключателям и розеткам выполняются в каналах строительных конструкций;</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групповые сети освещения машинных помещений лифтов, электрощитовых, ИТП, насосной и водомерного узла, технических чердаков и подвалов – кабелем марки ВВГнг(А)-LS открыто по стенам и перекрытиям с креплением накладными скобами.</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color w:val="000000"/>
        </w:rPr>
        <w:t>Групповые э</w:t>
      </w:r>
      <w:r>
        <w:rPr>
          <w:rFonts w:cs="Times New Roman CYR" w:ascii="Times New Roman CYR" w:hAnsi="Times New Roman CYR"/>
        </w:rPr>
        <w:t xml:space="preserve">лектрические сети аварийного освещения выполняются огнестойким кабелем марки ВВГнг(А)-FRLS.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Взаиморезервируемые кабельные линии проложены в отдельных лотках. </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Проектной документацией предусмотрены следующие виды освещения:</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 общее рабочее;</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 аварийное освещение (эвакуационное) ;</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 аварийное освещение (резервное);</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 переносное электрическое освещение.</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Аварийное освещение по надежности электроснабжения отнесено к I категории.</w:t>
      </w:r>
    </w:p>
    <w:p>
      <w:pPr>
        <w:pStyle w:val="Normal"/>
        <w:widowControl/>
        <w:tabs>
          <w:tab w:val="left" w:pos="-426" w:leader="none"/>
          <w:tab w:val="left" w:pos="1143" w:leader="none"/>
          <w:tab w:val="left" w:pos="2059" w:leader="none"/>
          <w:tab w:val="left" w:pos="2975" w:leader="none"/>
          <w:tab w:val="left" w:pos="3891" w:leader="none"/>
          <w:tab w:val="left" w:pos="4807" w:leader="none"/>
          <w:tab w:val="left" w:pos="5723" w:leader="none"/>
          <w:tab w:val="left" w:pos="6639" w:leader="none"/>
          <w:tab w:val="left" w:pos="7555" w:leader="none"/>
          <w:tab w:val="left" w:pos="8471" w:leader="none"/>
          <w:tab w:val="left" w:pos="9387" w:leader="none"/>
          <w:tab w:val="left" w:pos="10303" w:leader="none"/>
          <w:tab w:val="left" w:pos="11219" w:leader="none"/>
          <w:tab w:val="left" w:pos="12135" w:leader="none"/>
          <w:tab w:val="left" w:pos="13051" w:leader="none"/>
          <w:tab w:val="left" w:pos="13967" w:leader="none"/>
          <w:tab w:val="left" w:pos="14883" w:leader="none"/>
        </w:tabs>
        <w:ind w:right="-1" w:firstLine="709"/>
        <w:rPr>
          <w:rFonts w:ascii="Times New Roman CYR" w:hAnsi="Times New Roman CYR" w:cs="Times New Roman CYR"/>
        </w:rPr>
      </w:pPr>
      <w:r>
        <w:rPr>
          <w:rFonts w:cs="Times New Roman CYR" w:ascii="Times New Roman CYR" w:hAnsi="Times New Roman CYR"/>
          <w:color w:val="00000A"/>
        </w:rPr>
        <w:t xml:space="preserve">Выбор освещенности произведен на основании </w:t>
      </w:r>
      <w:r>
        <w:rPr>
          <w:rFonts w:cs="Times New Roman CYR" w:ascii="Times New Roman CYR" w:hAnsi="Times New Roman CYR"/>
        </w:rPr>
        <w:t>СП 31-110-2003, СанПиН</w:t>
      </w:r>
      <w:r>
        <w:rPr/>
        <w:t xml:space="preserve"> 2.2.1/2.1.1.1278-03, </w:t>
      </w:r>
      <w:r>
        <w:rPr>
          <w:rFonts w:cs="Times New Roman CYR" w:ascii="Times New Roman CYR" w:hAnsi="Times New Roman CYR"/>
        </w:rPr>
        <w:t>СП52.13330.2011.</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Напряжение сети общего рабочего и аварийного освещения ~ 380/220В с глухозаземленной нейтралью трансформатора. Питание светильников переносного ремонтного освещения предусмотрено от ящиков с понижающим трансформатором ~220/36В типа ЯТП.</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 xml:space="preserve">Питание рабочего освещения МОП жилого дома предусмотрено от блоков автоматического управления освещением, установленных в 1ВРУ и 2ВРУ. Электропитание светильников аварийного освещения предусмотрено от панелей аварийного освещения, запитанных через АВР по I категории надежности электроснабжения. </w:t>
      </w:r>
    </w:p>
    <w:p>
      <w:pPr>
        <w:pStyle w:val="Normal"/>
        <w:widowControl/>
        <w:tabs>
          <w:tab w:val="left" w:pos="-426" w:leader="none"/>
        </w:tabs>
        <w:ind w:right="-1" w:firstLine="709"/>
        <w:rPr/>
      </w:pPr>
      <w:r>
        <w:rPr>
          <w:rFonts w:cs="Times New Roman CYR" w:ascii="Times New Roman CYR" w:hAnsi="Times New Roman CYR"/>
        </w:rPr>
        <w:t xml:space="preserve">Светильники аварийного эвакуационного освещения оснащены автономными источниками бесперебойного электропитания с АКБ. Светильники эвакуационного освещения соответствуют ГОСТ 27900-88 (МЭК598-2-22) и ГОСТ IEC 60598-2-22-2012 </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В качестве источников света применены люминесцентные лампы, в том числе компактные и компактные интегрированные энергосберегающие. Напряжение на лампах ~220В.</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Светильники для люминесцентных ламп приняты с электронной пускорегулирующей аппаратурой ЭПРА, имеют сплошные закрытые рассеиватели. Шахты лифтов оборудованы стационарным освещением. Светильники над наружными входами оснащены компактными люминесцентными лампами, обеспечивающими зажигание до -25 градусов в зимнее время.</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 xml:space="preserve">В соответствии с СП31-110-2003 </w:t>
      </w:r>
      <w:r>
        <w:rPr/>
        <w:t>«</w:t>
      </w:r>
      <w:r>
        <w:rPr>
          <w:rFonts w:cs="Times New Roman CYR" w:ascii="Times New Roman CYR" w:hAnsi="Times New Roman CYR"/>
        </w:rPr>
        <w:t>Проектирование и монтаж электроустановок жилых и общественных зданий</w:t>
      </w:r>
      <w:r>
        <w:rPr/>
        <w:t xml:space="preserve">» </w:t>
      </w:r>
      <w:r>
        <w:rPr>
          <w:rFonts w:cs="Times New Roman CYR" w:ascii="Times New Roman CYR" w:hAnsi="Times New Roman CYR"/>
        </w:rPr>
        <w:t>в   жилых комнатах и кухнях квартир предусмотрена установка клеммных колодок для подключения светильников, а в кухнях и коридорах кроме того — подвесных патронов, присоединяемых к клеммной колодке. В сан.узлах и ванных предусмотрена установка настенных светильников класса защиты 2 от поражения электрическим током. На входе в каждую квартиру установлен электрический звонок с кнопкой на ~220 В.</w:t>
      </w:r>
    </w:p>
    <w:p>
      <w:pPr>
        <w:pStyle w:val="Normal"/>
        <w:widowControl/>
        <w:tabs>
          <w:tab w:val="left" w:pos="-426" w:leader="none"/>
        </w:tabs>
        <w:ind w:right="-1" w:firstLine="709"/>
        <w:rPr>
          <w:rFonts w:ascii="Times New Roman CYR" w:hAnsi="Times New Roman CYR" w:cs="Times New Roman CYR"/>
          <w:color w:val="FF0000"/>
          <w:sz w:val="20"/>
          <w:szCs w:val="20"/>
        </w:rPr>
      </w:pPr>
      <w:r>
        <w:rPr>
          <w:rFonts w:cs="Times New Roman CYR" w:ascii="Times New Roman CYR" w:hAnsi="Times New Roman CYR"/>
        </w:rPr>
        <w:t xml:space="preserve">Управление освещением квартир предусмотрено выключателями, устанавливаемыми у входов в обслуживаемые помещения.  Управление освещением подвалов, чердаков, машинных отделений лифтов, электрощитовых, ИТП, насосной и водомерного узла, рабочим освещением поэтажных внеквартирных коридоров предусмотрено выключателями и переключателями, установленными у входов в обслуживаемые помещения. </w:t>
      </w:r>
      <w:r>
        <w:rPr>
          <w:rFonts w:cs="Times New Roman CYR" w:ascii="Times New Roman CYR" w:hAnsi="Times New Roman CYR"/>
          <w:color w:val="000000"/>
        </w:rPr>
        <w:t xml:space="preserve">Управление освещением входов в дом и мусорокамеры, номерного знака, сквозного прохода и линий питания рабочего освещения лестничных клеток и лифтовых холлов предусмотрено автоматическое с помощью фотовыключателя. </w:t>
      </w:r>
      <w:r>
        <w:rPr>
          <w:rFonts w:cs="Times New Roman CYR" w:ascii="Times New Roman CYR" w:hAnsi="Times New Roman CYR"/>
        </w:rPr>
        <w:t xml:space="preserve">Светильники эвакуационного освещения снабжены блоками бесперебойного питания с АКБ. </w:t>
      </w:r>
      <w:r>
        <w:rPr>
          <w:rFonts w:cs="Times New Roman CYR" w:ascii="Times New Roman CYR" w:hAnsi="Times New Roman CYR"/>
          <w:color w:val="FF0000"/>
          <w:sz w:val="20"/>
          <w:szCs w:val="20"/>
        </w:rPr>
        <w:t xml:space="preserve">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Штепсельные розетки приняты на ток 16А с защитным контактом и шторками, автоматически закрывающими гнезда розетки при вынутой вилке. </w:t>
      </w:r>
    </w:p>
    <w:p>
      <w:pPr>
        <w:pStyle w:val="Normal"/>
        <w:widowControl/>
        <w:tabs>
          <w:tab w:val="left" w:pos="-426" w:leader="none"/>
          <w:tab w:val="left" w:pos="2520" w:leader="none"/>
        </w:tabs>
        <w:ind w:right="-1" w:firstLine="709"/>
        <w:rPr>
          <w:rFonts w:ascii="Times New Roman CYR" w:hAnsi="Times New Roman CYR" w:cs="Times New Roman CYR"/>
        </w:rPr>
      </w:pPr>
      <w:r>
        <w:rPr>
          <w:rFonts w:cs="Times New Roman CYR" w:ascii="Times New Roman CYR" w:hAnsi="Times New Roman CYR"/>
        </w:rPr>
        <w:t>В помещениях пожароопасных, сырых, влажных и пыльных применено оборудование и осветительная арматура, имеющие соответствующие окружающей среде исполнение и степень защиты.</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Резервирование электроэнергии осуществлено следующим образом:</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а) подключение источника электроснабжения - </w:t>
      </w:r>
      <w:r>
        <w:rPr>
          <w:rFonts w:cs="Times New Roman CYR" w:ascii="Times New Roman CYR" w:hAnsi="Times New Roman CYR"/>
          <w:highlight w:val="white"/>
        </w:rPr>
        <w:t xml:space="preserve">действующей </w:t>
      </w:r>
      <w:r>
        <w:rPr>
          <w:rFonts w:cs="Times New Roman CYR" w:ascii="Times New Roman CYR" w:hAnsi="Times New Roman CYR"/>
        </w:rPr>
        <w:t>трансформаторной подстанции ТП-10/0,4кВ/2x1250кВА к двум секционированным взаимно резервирующим кабельным линиям 10 кВ;</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б) вводно-распределительные устройства 1ВРУ, 2ВРУ жилого дома запитаны от РУ-0,4 кВ </w:t>
      </w:r>
      <w:r>
        <w:rPr>
          <w:rFonts w:cs="Times New Roman CYR" w:ascii="Times New Roman CYR" w:hAnsi="Times New Roman CYR"/>
          <w:highlight w:val="white"/>
        </w:rPr>
        <w:t xml:space="preserve">действующей </w:t>
      </w:r>
      <w:r>
        <w:rPr>
          <w:rFonts w:cs="Times New Roman CYR" w:ascii="Times New Roman CYR" w:hAnsi="Times New Roman CYR"/>
        </w:rPr>
        <w:t>трансформаторной подстанции ТП-10/0,4кВ/2x1250кВА двумя взаимно резервирующими кабельными линиями 0,4 кВ;</w:t>
      </w:r>
    </w:p>
    <w:p>
      <w:pPr>
        <w:pStyle w:val="Normal"/>
        <w:widowControl/>
        <w:tabs>
          <w:tab w:val="left" w:pos="-426" w:leader="none"/>
        </w:tabs>
        <w:ind w:right="-1" w:firstLine="709"/>
        <w:rPr>
          <w:rFonts w:ascii="Arial CYR" w:hAnsi="Arial CYR" w:cs="Arial CYR"/>
          <w:sz w:val="28"/>
          <w:szCs w:val="28"/>
        </w:rPr>
      </w:pPr>
      <w:r>
        <w:rPr>
          <w:rFonts w:cs="Times New Roman CYR" w:ascii="Times New Roman CYR" w:hAnsi="Times New Roman CYR"/>
          <w:color w:val="000000"/>
        </w:rPr>
        <w:t>в) электроприемники I категории по надежности электроснабжения запитаны от вводных устройств жилого дома двумя взаимно резервирующими кабельными линиями через устройство АВР.</w:t>
      </w:r>
      <w:r>
        <w:rPr>
          <w:rFonts w:cs="Arial CYR" w:ascii="Arial CYR" w:hAnsi="Arial CYR"/>
          <w:sz w:val="28"/>
          <w:szCs w:val="28"/>
        </w:rPr>
        <w:t xml:space="preserve"> </w:t>
      </w:r>
    </w:p>
    <w:p>
      <w:pPr>
        <w:pStyle w:val="Normal"/>
        <w:widowControl/>
        <w:tabs>
          <w:tab w:val="left" w:pos="-426" w:leader="none"/>
        </w:tabs>
        <w:ind w:right="-1" w:firstLine="709"/>
        <w:rPr>
          <w:rFonts w:ascii="Arial CYR" w:hAnsi="Arial CYR" w:cs="Arial CYR"/>
          <w:sz w:val="28"/>
          <w:szCs w:val="28"/>
        </w:rPr>
      </w:pPr>
      <w:r>
        <w:rPr>
          <w:rFonts w:cs="Times New Roman CYR" w:ascii="Times New Roman CYR" w:hAnsi="Times New Roman CYR"/>
        </w:rPr>
        <w:t>Резервное питание светильников аварийного (эвакуационного) освещения предусмотрено от встроенных в них аккумуляторных батарей.</w:t>
      </w:r>
      <w:r>
        <w:rPr>
          <w:rFonts w:cs="Arial CYR" w:ascii="Arial CYR" w:hAnsi="Arial CYR"/>
          <w:b/>
          <w:bCs/>
          <w:sz w:val="28"/>
          <w:szCs w:val="28"/>
        </w:rPr>
        <w:t xml:space="preserve"> </w:t>
      </w:r>
      <w:r>
        <w:rPr>
          <w:rFonts w:cs="Arial CYR" w:ascii="Arial CYR" w:hAnsi="Arial CYR"/>
          <w:sz w:val="28"/>
          <w:szCs w:val="28"/>
        </w:rPr>
        <w:t xml:space="preserve">  </w:t>
      </w:r>
    </w:p>
    <w:p>
      <w:pPr>
        <w:pStyle w:val="Normal"/>
        <w:widowControl/>
        <w:tabs>
          <w:tab w:val="left" w:pos="-426" w:leader="none"/>
        </w:tabs>
        <w:ind w:right="-1" w:firstLine="709"/>
        <w:rPr>
          <w:rFonts w:ascii="Calibri" w:hAnsi="Calibri" w:cs="Calibri"/>
          <w:sz w:val="22"/>
          <w:szCs w:val="22"/>
        </w:rPr>
      </w:pPr>
      <w:r>
        <w:rPr>
          <w:rFonts w:cs="Calibri" w:ascii="Calibri" w:hAnsi="Calibri"/>
          <w:sz w:val="22"/>
          <w:szCs w:val="22"/>
        </w:rPr>
      </w:r>
    </w:p>
    <w:p>
      <w:pPr>
        <w:pStyle w:val="Normal"/>
        <w:widowControl/>
        <w:tabs>
          <w:tab w:val="left" w:pos="-426" w:leader="none"/>
        </w:tabs>
        <w:ind w:right="-1" w:firstLine="709"/>
        <w:rPr>
          <w:rFonts w:ascii="Times New Roman CYR" w:hAnsi="Times New Roman CYR" w:cs="Times New Roman CYR"/>
          <w:b/>
          <w:b/>
          <w:bCs/>
          <w:u w:val="single"/>
        </w:rPr>
      </w:pPr>
      <w:r>
        <w:rPr>
          <w:b/>
          <w:bCs/>
        </w:rPr>
        <w:t xml:space="preserve"> </w:t>
      </w:r>
      <w:r>
        <w:rPr>
          <w:b/>
          <w:bCs/>
          <w:u w:val="single"/>
        </w:rPr>
        <w:t xml:space="preserve">2 </w:t>
      </w:r>
      <w:r>
        <w:rPr>
          <w:rFonts w:cs="Times New Roman CYR" w:ascii="Times New Roman CYR" w:hAnsi="Times New Roman CYR"/>
          <w:b/>
          <w:bCs/>
          <w:u w:val="single"/>
        </w:rPr>
        <w:t>этап строительства</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Для приема электроэнергии и распределения ее по потребителям многоквартирного многоэтажного жилого дома со встроенно-пристроенными помещениями делового, культурного и обслуживающего назначения по ул. Юбилейной в Автозаводском районе г. Тольятти предусмотрены три вводно-распределительных устройства 3ВРУ, 4ВРУ, 5ВРУ, устанавливаемые в в электрощитовых секций 7, 8 и в подвале пристроенных нежилых помещений соответственно.</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Подключение каждого вводно-распределительного устройства к наружным электрическим сетям выполнено двумя взаиморезервируемыми кабельными линиями с разных секций действующей трансформаторной подстанции ТП-10/0,4кВ/2x1250кВА.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Для электроснабжения жилого дома с электропиемниками первой и второй категории  надежности электроснабжения принята радиальная схема с разных шин трансформаторной  подстанции с АВР на вводе 3ВРУ, 4ВРУ, 5ВРУ для электроприемников первой категории.</w:t>
      </w:r>
    </w:p>
    <w:p>
      <w:pPr>
        <w:pStyle w:val="Normal"/>
        <w:widowControl/>
        <w:tabs>
          <w:tab w:val="left" w:pos="-426" w:leader="none"/>
        </w:tabs>
        <w:ind w:right="-1" w:firstLine="709"/>
        <w:rPr>
          <w:rFonts w:ascii="Times New Roman CYR" w:hAnsi="Times New Roman CYR" w:cs="Times New Roman CYR"/>
          <w:b/>
          <w:b/>
          <w:bCs/>
        </w:rPr>
      </w:pPr>
      <w:r>
        <w:rPr>
          <w:rFonts w:cs="Times New Roman CYR" w:ascii="Times New Roman CYR" w:hAnsi="Times New Roman CYR"/>
        </w:rPr>
        <w:t>Основными потребителями электрической энергии жилого дома со встроенно-пристроенными нежилыми помещениями являются: электрическое освещение, электробытовые приборы, электроприемники сантехнического и технологического оборудования, противопожарных устройств, электроприводы лифтов.</w:t>
      </w:r>
      <w:r>
        <w:rPr>
          <w:rFonts w:cs="Times New Roman CYR" w:ascii="Times New Roman CYR" w:hAnsi="Times New Roman CYR"/>
          <w:b/>
          <w:bCs/>
        </w:rPr>
        <w:t xml:space="preserve">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Расчет электрических нагрузок выполнен согласно СП31-110-2003. Основные технико-экономические показатели и расчетные нагрузки проектируемой системы электроснабжения жилого дома:</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категория электроснабжения — II;</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сеть низкого напряжения — 0,4 кВ;</w:t>
      </w:r>
    </w:p>
    <w:p>
      <w:pPr>
        <w:pStyle w:val="Normal"/>
        <w:widowControl/>
        <w:tabs>
          <w:tab w:val="left" w:pos="-426" w:leader="none"/>
        </w:tabs>
        <w:ind w:right="-1" w:firstLine="709"/>
        <w:rPr>
          <w:rFonts w:ascii="Times New Roman CYR" w:hAnsi="Times New Roman CYR" w:cs="Times New Roman CYR"/>
          <w:color w:val="000000"/>
          <w:highlight w:val="white"/>
        </w:rPr>
      </w:pPr>
      <w:r>
        <w:rPr/>
        <w:t xml:space="preserve">- </w:t>
      </w:r>
      <w:r>
        <w:rPr>
          <w:rFonts w:cs="Times New Roman CYR" w:ascii="Times New Roman CYR" w:hAnsi="Times New Roman CYR"/>
        </w:rPr>
        <w:t xml:space="preserve">суммарная расчетная электрическая нагрузка 3ВРУ (жилой дом) — </w:t>
      </w:r>
      <w:r>
        <w:rPr>
          <w:rFonts w:cs="Times New Roman CYR" w:ascii="Times New Roman CYR" w:hAnsi="Times New Roman CYR"/>
          <w:color w:val="000000"/>
          <w:highlight w:val="white"/>
        </w:rPr>
        <w:t>155,7 кВт;</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 xml:space="preserve">суммарная расчетная электрическая нагрузка 4ВРУ (жилой дом) — </w:t>
      </w:r>
      <w:r>
        <w:rPr>
          <w:rFonts w:cs="Times New Roman CYR" w:ascii="Times New Roman CYR" w:hAnsi="Times New Roman CYR"/>
          <w:color w:val="000000"/>
        </w:rPr>
        <w:t>145,2</w:t>
      </w:r>
      <w:r>
        <w:rPr>
          <w:rFonts w:cs="Times New Roman CYR" w:ascii="Times New Roman CYR" w:hAnsi="Times New Roman CYR"/>
        </w:rPr>
        <w:t xml:space="preserve"> кВт,</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в т.ч. офисы — 12,8 кВт; </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 xml:space="preserve">суммарная расчетная электрическая нагрузка 5ВРУ (нежилые помещения свободной планировки) — </w:t>
      </w:r>
      <w:r>
        <w:rPr>
          <w:rFonts w:cs="Times New Roman CYR" w:ascii="Times New Roman CYR" w:hAnsi="Times New Roman CYR"/>
          <w:color w:val="000000"/>
        </w:rPr>
        <w:t>33,3</w:t>
      </w:r>
      <w:r>
        <w:rPr>
          <w:rFonts w:cs="Times New Roman CYR" w:ascii="Times New Roman CYR" w:hAnsi="Times New Roman CYR"/>
        </w:rPr>
        <w:t xml:space="preserve"> кВт, </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расчетная мощность наружного освещения —</w:t>
      </w:r>
      <w:r>
        <w:rPr>
          <w:rFonts w:cs="Times New Roman CYR" w:ascii="Times New Roman CYR" w:hAnsi="Times New Roman CYR"/>
          <w:color w:val="000000"/>
        </w:rPr>
        <w:t xml:space="preserve"> 3,8 </w:t>
      </w:r>
      <w:r>
        <w:rPr>
          <w:rFonts w:cs="Times New Roman CYR" w:ascii="Times New Roman CYR" w:hAnsi="Times New Roman CYR"/>
        </w:rPr>
        <w:t>кВт;</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 xml:space="preserve">суммарная расчетная электрическая нагрузка здания по 2-ому этапу строительства на шинах ТП при смешанном питании потребителей различного назначения — </w:t>
      </w:r>
      <w:r>
        <w:rPr>
          <w:rFonts w:cs="Times New Roman CYR" w:ascii="Times New Roman CYR" w:hAnsi="Times New Roman CYR"/>
          <w:color w:val="000000"/>
          <w:highlight w:val="white"/>
        </w:rPr>
        <w:t>294,3</w:t>
      </w:r>
      <w:r>
        <w:rPr>
          <w:rFonts w:cs="Times New Roman CYR" w:ascii="Times New Roman CYR" w:hAnsi="Times New Roman CYR"/>
        </w:rPr>
        <w:t xml:space="preserve"> кВт;</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 xml:space="preserve">суммарная расчетная электрическая нагрузка здания поз.4 по 1, 2 этапу строительства </w:t>
      </w:r>
    </w:p>
    <w:p>
      <w:pPr>
        <w:pStyle w:val="Normal"/>
        <w:widowControl/>
        <w:tabs>
          <w:tab w:val="left" w:pos="-426" w:leader="none"/>
        </w:tabs>
        <w:ind w:right="-1" w:firstLine="709"/>
        <w:rPr>
          <w:rFonts w:ascii="Times New Roman CYR" w:hAnsi="Times New Roman CYR" w:cs="Times New Roman CYR"/>
          <w:color w:val="000000"/>
          <w:highlight w:val="white"/>
        </w:rPr>
      </w:pPr>
      <w:r>
        <w:rPr>
          <w:rFonts w:cs="Times New Roman CYR" w:ascii="Times New Roman CYR" w:hAnsi="Times New Roman CYR"/>
        </w:rPr>
        <w:t xml:space="preserve">на шинах ТП - </w:t>
      </w:r>
      <w:r>
        <w:rPr>
          <w:rFonts w:cs="Times New Roman CYR" w:ascii="Times New Roman CYR" w:hAnsi="Times New Roman CYR"/>
          <w:color w:val="000000"/>
          <w:highlight w:val="white"/>
        </w:rPr>
        <w:t xml:space="preserve"> 551,8 кВт; </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среднее значение cosф=0,96 (tgф=0,3);</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система заземления TN-C-S;</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учет электроэнергии на вводе - счетчиками класса точности 0,5S;</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учет электроэнергии у абонентов - счетчиками класса точности 1,0.</w:t>
      </w:r>
    </w:p>
    <w:p>
      <w:pPr>
        <w:pStyle w:val="Normal"/>
        <w:widowControl/>
        <w:tabs>
          <w:tab w:val="left" w:pos="-426" w:leader="none"/>
        </w:tabs>
        <w:ind w:right="-1" w:firstLine="709"/>
        <w:rPr>
          <w:rFonts w:ascii="Calibri" w:hAnsi="Calibri" w:cs="Calibri"/>
          <w:sz w:val="22"/>
          <w:szCs w:val="22"/>
        </w:rPr>
      </w:pPr>
      <w:r>
        <w:rPr>
          <w:rFonts w:cs="Calibri" w:ascii="Calibri" w:hAnsi="Calibri"/>
          <w:sz w:val="22"/>
          <w:szCs w:val="22"/>
        </w:rPr>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По степени надежности электроснабжения электроприемники жилого дома относятся:</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к I категории - электроустановки противопожарной защиты (насосы пожаротушения, вентиляторы противодымной защиты, приборы пожарной сигнализации и оповещения людей при пожаре), лифты, аварийное освещение, встроенный индивидуальный тепловой пункт (ИТП);</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ко II категории – остальные электроприемники.</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rPr>
        <w:t xml:space="preserve">Для ввода, учёта и распределения электроэнергии жилого дома со встроенно-пристроенными нежилыми помещениями предусмотрены вводно-распределительные устройства 3ВРУ, 4ВРУ, 5ВРУ (неж.пом.), размещаемые в помещениях электрощитовых </w:t>
      </w:r>
      <w:r>
        <w:rPr>
          <w:rFonts w:cs="Times New Roman CYR" w:ascii="Times New Roman CYR" w:hAnsi="Times New Roman CYR"/>
          <w:color w:val="00000A"/>
        </w:rPr>
        <w:t xml:space="preserve">в подвальных этажах здания. </w:t>
      </w:r>
    </w:p>
    <w:p>
      <w:pPr>
        <w:pStyle w:val="Normal"/>
        <w:widowControl/>
        <w:tabs>
          <w:tab w:val="left" w:pos="-426" w:leader="none"/>
        </w:tabs>
        <w:ind w:right="-1" w:firstLine="709"/>
        <w:rPr/>
      </w:pPr>
      <w:r>
        <w:rPr>
          <w:rFonts w:cs="Times New Roman CYR" w:ascii="Times New Roman CYR" w:hAnsi="Times New Roman CYR"/>
          <w:color w:val="00000A"/>
        </w:rPr>
        <w:t>Все</w:t>
      </w:r>
      <w:r>
        <w:rPr>
          <w:rFonts w:cs="Times New Roman CYR" w:ascii="Times New Roman CYR" w:hAnsi="Times New Roman CYR"/>
        </w:rPr>
        <w:t xml:space="preserve"> щиты комплектов 3ВРУ, 4ВРУ, 5ВРУ имеют сертификат соответствия по ГОСТ 32396-2013 </w:t>
      </w:r>
      <w:r>
        <w:rPr/>
        <w:t>«</w:t>
      </w:r>
      <w:r>
        <w:rPr>
          <w:rFonts w:cs="Times New Roman CYR" w:ascii="Times New Roman CYR" w:hAnsi="Times New Roman CYR"/>
        </w:rPr>
        <w:t>Устройства вводно-распределительные для жилых и общественных зданий. Общие технические условия</w:t>
      </w:r>
      <w:r>
        <w:rPr/>
        <w:t>».</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Коммерческий учет электроэнергии организован на каждом вводе 3ВРУ, 4ВРУ, 5ВРУ (неж.пом.), а также в 3АВР, 4АВР, 5АВР. Для коммерческого учета предусмотрены многотарифные электронные счетчики трансформаторного включения. Учет электроэнергии поквартирно организован на этажных распределительных устройствах на вводе в каждую квартиру электронными однофазными многотарифными счетчиками прямого включения. </w:t>
      </w:r>
    </w:p>
    <w:p>
      <w:pPr>
        <w:pStyle w:val="Normal"/>
        <w:widowControl/>
        <w:tabs>
          <w:tab w:val="left" w:pos="-426" w:leader="none"/>
        </w:tabs>
        <w:ind w:right="-1" w:firstLine="709"/>
        <w:rPr>
          <w:rFonts w:ascii="Times New Roman CYR" w:hAnsi="Times New Roman CYR" w:cs="Times New Roman CYR"/>
          <w:color w:val="000000"/>
        </w:rPr>
      </w:pPr>
      <w:r>
        <w:rPr>
          <w:rFonts w:cs="Times New Roman CYR" w:ascii="Times New Roman CYR" w:hAnsi="Times New Roman CYR"/>
          <w:color w:val="000000"/>
        </w:rPr>
        <w:t>Защита от перегрузки и токов КЗ электрических сетей ~380/220В мест общего пользования жилого дома и встроенно-пристроенных нежилых помещений осуществлена автоматическими выключателями, установленными в вводно-распределительных устройствах 3ВРУ, 3АВР, 4ВРУ, 4АВР, 5ВРУ (неж.пом.), 5АВР, а также в силовых распределительных шкафах 5СРП, 7СРП-ППУ, 9СРП-ППУ, 2ШР-ИТП, 3ШР-ИТП питания потребителей I категории электроснабжения; 6СРП и 8СРП питания общедомовых потребителей II категории; 3ШРВ, 4ШРВ, 5ШРВ — вытяжных систем общеобменной вентиляции, 10СРП — силовых нагрузок и щитков освещения ЩО, АЩО пристроенных нежилых помещений. Электрические щиты выполнены в металлических корпусах серии ЩРн, ЩМП  и имеют необходимый комплект пуско-защитной аппаратуры.</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Защита и питание электрических сетей квартир, учет расхода электроэнергии в квартирах осуществлена с помощью этажных учетно-распределительных устройств типа УЭРМ.</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rPr>
        <w:t xml:space="preserve">В начале каждого стояка установлен аппарат защиты и отключения стояка. Этажные учетно-распределительные устройства имеют отдельную секцию для размещения слаботочных устройств. Этажные </w:t>
      </w:r>
      <w:r>
        <w:rPr>
          <w:rFonts w:cs="Times New Roman CYR" w:ascii="Times New Roman CYR" w:hAnsi="Times New Roman CYR"/>
          <w:color w:val="00000A"/>
        </w:rPr>
        <w:t>учетно-распределительные устройства имеют конструкцию, исключающую распространение горения за пределы щита, из слаботочного отсека в силовой и наоборот.</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color w:val="00000A"/>
        </w:rPr>
        <w:t>Во встроенных офисах предусмотрены учетно-распределительные щиты ВРУ-оф.1, ВРУ-оф.2, ВРУ-оф.3, ВРУ-оф.4 (индивидуального исполнения). В качестве аппаратов</w:t>
      </w:r>
      <w:r>
        <w:rPr>
          <w:rFonts w:cs="Times New Roman CYR" w:ascii="Times New Roman CYR" w:hAnsi="Times New Roman CYR"/>
        </w:rPr>
        <w:t xml:space="preserve"> защиты в них используются автоматические выключатели и дифференциальные автоматы.</w:t>
      </w:r>
    </w:p>
    <w:p>
      <w:pPr>
        <w:pStyle w:val="Normal"/>
        <w:widowControl/>
        <w:tabs>
          <w:tab w:val="left" w:pos="-426" w:leader="none"/>
        </w:tabs>
        <w:ind w:right="-1" w:firstLine="709"/>
        <w:rPr>
          <w:color w:val="000000"/>
        </w:rPr>
      </w:pPr>
      <w:r>
        <w:rPr>
          <w:rFonts w:cs="Times New Roman CYR" w:ascii="Times New Roman CYR" w:hAnsi="Times New Roman CYR"/>
        </w:rPr>
        <w:t xml:space="preserve">Проектной документацией предусмотрено автоматическое отключение вентсистем в случае возникновения пожара по сигналу системы пожарной сигнализации </w:t>
      </w:r>
      <w:r>
        <w:rPr>
          <w:rFonts w:cs="Times New Roman CYR" w:ascii="Times New Roman CYR" w:hAnsi="Times New Roman CYR"/>
          <w:color w:val="00000A"/>
        </w:rPr>
        <w:t xml:space="preserve">независимым расцепителем вводного автоматического выключателя щитов питания общеобменной вентиляции </w:t>
      </w:r>
      <w:r>
        <w:rPr>
          <w:rFonts w:cs="Times New Roman CYR" w:ascii="Times New Roman CYR" w:hAnsi="Times New Roman CYR"/>
          <w:color w:val="000000"/>
        </w:rPr>
        <w:t>3ШРВ, 4ШРВ, 5ШРВ.</w:t>
      </w:r>
      <w:r>
        <w:rPr>
          <w:rFonts w:cs="Times New Roman CYR" w:ascii="Times New Roman CYR" w:hAnsi="Times New Roman CYR"/>
          <w:color w:val="009900"/>
        </w:rPr>
        <w:t xml:space="preserve">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В качестве пусковой и защитной аппаратуры, не поставляемой комплектно с сантехническим оборудованием, приняты магнитные пускатели серии ПМЛ. Для снятия напряжения с лифтовых установок применяются силовые ящики серии ЯВЗ.</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Учет электроэнергии осуществлен в соответствии с ПУЭ и СП 31-110-2003.</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На вводно-распределительных устройствах жилого дома со встроенно-пристроенными нежилыми помещениями установлены трехфазные счетчики Меркурий 230 ART03 PQRSIDN трансформаторного включения класса точности 0,5S, на линиях к общедомовым потребителям – счетчики Меркурий 230 ART01 PQСSIN класса точности 1S прямого включения, в этажных щитках на линиях к квартирам и в электрощитках абонентов офисов - однофазные многотарифные счетчики серии СЕ-102 класса точности 1,0. Трансформаторы тока имеют класс точности 0,5, коэффициенты трансформации рассчитаны с учетом требований ПУЭ, п.1.5.17.</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Экономия электроэнергии проектом предусмотрена.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Защита от прямого прикосновения обеспечена применением проводов и кабелей с соответствующей изоляцией, оболочек электрооборудования и аппаратов со степенью защиты не ниже IP20. Защита от косвенного прикосновения предусмотрена автоматическим отключением поврежденного участка сети устройствами защиты от сверхтоков в сочетании с системой заземления TN-C-S и основной системой уравнивания потенциалов.</w:t>
      </w:r>
    </w:p>
    <w:p>
      <w:pPr>
        <w:pStyle w:val="Normal"/>
        <w:widowControl/>
        <w:tabs>
          <w:tab w:val="left" w:pos="-426" w:leader="none"/>
          <w:tab w:val="left" w:pos="2463" w:leader="none"/>
        </w:tabs>
        <w:ind w:right="-1" w:firstLine="709"/>
        <w:rPr>
          <w:rFonts w:ascii="Times New Roman CYR" w:hAnsi="Times New Roman CYR" w:cs="Times New Roman CYR"/>
          <w:color w:val="00000A"/>
        </w:rPr>
      </w:pPr>
      <w:r>
        <w:rPr>
          <w:rFonts w:cs="Times New Roman CYR" w:ascii="Times New Roman CYR" w:hAnsi="Times New Roman CYR"/>
          <w:color w:val="00000A"/>
        </w:rPr>
        <w:t xml:space="preserve">Для обеспечения безопасной эксплуатации электропотребителей в проектной документации предусмотрено устройство защитного заземления и зануления.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Проектом предусмотрена система заземления ТN-C-S с разделением нулевого рабочего (N) и нулевого защитного (РЕ) проводников. Разделение проводника PEN на PE и N предусмотрено на вводе сетей 0,4кВ в здание.</w:t>
      </w:r>
    </w:p>
    <w:p>
      <w:pPr>
        <w:pStyle w:val="Normal"/>
        <w:widowControl/>
        <w:tabs>
          <w:tab w:val="left" w:pos="-426" w:leader="none"/>
          <w:tab w:val="left" w:pos="11647" w:leader="none"/>
        </w:tabs>
        <w:ind w:right="-1" w:firstLine="709"/>
        <w:rPr>
          <w:rFonts w:ascii="Times New Roman CYR" w:hAnsi="Times New Roman CYR" w:cs="Times New Roman CYR"/>
        </w:rPr>
      </w:pPr>
      <w:r>
        <w:rPr>
          <w:rFonts w:cs="Times New Roman CYR" w:ascii="Times New Roman CYR" w:hAnsi="Times New Roman CYR"/>
        </w:rPr>
        <w:t xml:space="preserve">На вводе питающих кабелей в здание предусмотрен контур повторного заземления нулевого провода.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Для заземления электрооборудования в помещениях электрощитовых, машинных отделениях лифтов, ИТП, насосных и водомерных узлах предусмотрена открытая прокладка по стенам помещений заземляющего проводника из полосовой стали 4х25 мм, присоединенного к контуру повторного заземления нулевого провода.</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Металлические направляющие лифтов и противовесов, а также металлические конструкции ограждений шахт лифтов заземлены присоединением их стальной полосой к контуру повторного заземления нулевого провода. К контуру защитного заземления присоединены также и телекоммуникационное оборудование, устанавливаемое в подвалах секций.</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Согласно ПУЭ п.1.7.82 проектом предусмотрено устройство главной системы уравнивания потенциалов путем объединения на вводе следующих проводящих частей:</w:t>
      </w:r>
    </w:p>
    <w:p>
      <w:pPr>
        <w:pStyle w:val="Normal"/>
        <w:widowControl/>
        <w:tabs>
          <w:tab w:val="left" w:pos="-426" w:leader="none"/>
        </w:tabs>
        <w:ind w:right="-1" w:firstLine="709"/>
        <w:rPr>
          <w:rFonts w:ascii="Times New Roman CYR" w:hAnsi="Times New Roman CYR" w:cs="Times New Roman CYR"/>
        </w:rPr>
      </w:pPr>
      <w:r>
        <w:rPr/>
        <w:t xml:space="preserve">- </w:t>
      </w:r>
      <w:r>
        <w:rPr>
          <w:lang w:val="en-US"/>
        </w:rPr>
        <w:t>PEN</w:t>
      </w:r>
      <w:r>
        <w:rPr/>
        <w:t>-</w:t>
      </w:r>
      <w:r>
        <w:rPr>
          <w:rFonts w:cs="Times New Roman CYR" w:ascii="Times New Roman CYR" w:hAnsi="Times New Roman CYR"/>
        </w:rPr>
        <w:t>проводник;</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заземляющий проводник, присоединенный к заземлителю повторного заземления на вводе в здание;</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металлические трубы горячего и холодного водоснабжения, канализации, отопления;</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металлические части каркаса здания, направляющие лифтов, металлические ограждения лифтовых шахт и т.п.;</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заземляющее устройство молниезащиты;</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металлические оболочки телекоммуникационных кабелей.</w:t>
      </w:r>
    </w:p>
    <w:p>
      <w:pPr>
        <w:pStyle w:val="Normal"/>
        <w:widowControl/>
        <w:tabs>
          <w:tab w:val="left" w:pos="-426" w:leader="none"/>
        </w:tabs>
        <w:ind w:right="-1" w:firstLine="709"/>
        <w:rPr>
          <w:rFonts w:ascii="Times New Roman CYR" w:hAnsi="Times New Roman CYR" w:cs="Times New Roman CYR"/>
          <w:color w:val="000000"/>
        </w:rPr>
      </w:pPr>
      <w:r>
        <w:rPr>
          <w:rFonts w:cs="Times New Roman CYR" w:ascii="Times New Roman CYR" w:hAnsi="Times New Roman CYR"/>
          <w:color w:val="00000A"/>
        </w:rPr>
        <w:tab/>
        <w:tab/>
        <w:t xml:space="preserve">  В данной электроустановке предусмотрена главная заземляющая шина (ГЗШ)</w:t>
      </w:r>
      <w:r>
        <w:rPr>
          <w:rFonts w:cs="Times New Roman CYR" w:ascii="Times New Roman CYR" w:hAnsi="Times New Roman CYR"/>
        </w:rPr>
        <w:t>. Все указанные выше части присоединяются к главной заземляющей шине при помощи проводников системы уравнивания потенциалов с возможностью их индивидуального отсоединения при помощи инструмента. Проводящие части, входящие в здание извне, соединены в точках их ввода в здание. Проводники системы уравнивания потенциалов выполнены из полосовой стали сечением</w:t>
      </w:r>
      <w:r>
        <w:rPr>
          <w:rFonts w:cs="Times New Roman CYR" w:ascii="Times New Roman CYR" w:hAnsi="Times New Roman CYR"/>
          <w:color w:val="000000"/>
        </w:rPr>
        <w:t xml:space="preserve"> 4х25мм</w:t>
      </w:r>
      <w:r>
        <w:rPr>
          <w:rFonts w:cs="Times New Roman CYR" w:ascii="Times New Roman CYR" w:hAnsi="Times New Roman CYR"/>
        </w:rPr>
        <w:t>.</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rPr>
        <w:t>Для уравнивания потенциалов в ванных комнатах квартир предусмотрены шины дополнительного уравнивания потенциалов.</w:t>
      </w:r>
      <w:r>
        <w:rPr/>
        <w:t xml:space="preserve"> </w:t>
      </w:r>
      <w:r>
        <w:rPr>
          <w:rFonts w:cs="Times New Roman CYR" w:ascii="Times New Roman CYR" w:hAnsi="Times New Roman CYR"/>
          <w:color w:val="00000A"/>
        </w:rPr>
        <w:t xml:space="preserve">Молниезащита здания выполнена в соответствии с требованиями РД 34.21.122-87 </w:t>
      </w:r>
      <w:r>
        <w:rPr>
          <w:color w:val="00000A"/>
        </w:rPr>
        <w:t>«</w:t>
      </w:r>
      <w:r>
        <w:rPr>
          <w:rFonts w:cs="Times New Roman CYR" w:ascii="Times New Roman CYR" w:hAnsi="Times New Roman CYR"/>
          <w:color w:val="00000A"/>
        </w:rPr>
        <w:t>Инструкция по устройству молниезащиты зданий и сооружений</w:t>
      </w:r>
      <w:r>
        <w:rPr>
          <w:color w:val="00000A"/>
        </w:rPr>
        <w:t xml:space="preserve">» </w:t>
      </w:r>
      <w:r>
        <w:rPr>
          <w:rFonts w:cs="Times New Roman CYR" w:ascii="Times New Roman CYR" w:hAnsi="Times New Roman CYR"/>
          <w:color w:val="00000A"/>
        </w:rPr>
        <w:t xml:space="preserve">и СО153-34.21.122-2003 </w:t>
      </w:r>
      <w:r>
        <w:rPr>
          <w:color w:val="00000A"/>
        </w:rPr>
        <w:t>«</w:t>
      </w:r>
      <w:r>
        <w:rPr>
          <w:rFonts w:cs="Times New Roman CYR" w:ascii="Times New Roman CYR" w:hAnsi="Times New Roman CYR"/>
          <w:color w:val="00000A"/>
        </w:rPr>
        <w:t>Инструкция по устройству молниезащиты зданий, сооружений и промышленных коммуникаций</w:t>
      </w:r>
      <w:r>
        <w:rPr>
          <w:color w:val="00000A"/>
        </w:rPr>
        <w:t xml:space="preserve">». </w:t>
      </w:r>
      <w:r>
        <w:rPr>
          <w:rFonts w:cs="Times New Roman CYR" w:ascii="Times New Roman CYR" w:hAnsi="Times New Roman CYR"/>
          <w:color w:val="00000A"/>
        </w:rPr>
        <w:t>Допустимый уровень надежности защиты от прямых ударов молнии (ПУМ) принят III, надёжность</w:t>
      </w:r>
      <w:r>
        <w:rPr>
          <w:rFonts w:cs="Times New Roman CYR" w:ascii="Times New Roman CYR" w:hAnsi="Times New Roman CYR"/>
          <w:color w:val="00000A"/>
          <w:sz w:val="28"/>
          <w:szCs w:val="28"/>
        </w:rPr>
        <w:t xml:space="preserve"> </w:t>
      </w:r>
      <w:r>
        <w:rPr>
          <w:rFonts w:cs="Times New Roman CYR" w:ascii="Times New Roman CYR" w:hAnsi="Times New Roman CYR"/>
          <w:color w:val="00000A"/>
        </w:rPr>
        <w:t>защиты от ПУМ - 0,9.</w:t>
      </w:r>
    </w:p>
    <w:p>
      <w:pPr>
        <w:pStyle w:val="Normal"/>
        <w:widowControl/>
        <w:tabs>
          <w:tab w:val="left" w:pos="-426" w:leader="none"/>
        </w:tabs>
        <w:ind w:right="-1" w:firstLine="709"/>
        <w:rPr>
          <w:rFonts w:ascii="Times New Roman CYR" w:hAnsi="Times New Roman CYR" w:cs="Times New Roman CYR"/>
          <w:b/>
          <w:b/>
          <w:bCs/>
        </w:rPr>
      </w:pPr>
      <w:r>
        <w:rPr>
          <w:rFonts w:cs="Times New Roman CYR" w:ascii="Times New Roman CYR" w:hAnsi="Times New Roman CYR"/>
          <w:color w:val="000000"/>
        </w:rPr>
        <w:t>Проектируемые внутриплощадочные сети 0,4 кВ выполнены кабельными взаиморезервируемыми. К прокладке принят кабель с алюминиевыми жилами марки АВБШв-1,0кВ.</w:t>
      </w:r>
      <w:r>
        <w:rPr>
          <w:rFonts w:cs="Times New Roman CYR" w:ascii="Times New Roman CYR" w:hAnsi="Times New Roman CYR"/>
          <w:color w:val="FF0000"/>
        </w:rPr>
        <w:t xml:space="preserve"> </w:t>
      </w:r>
      <w:r>
        <w:rPr>
          <w:rFonts w:cs="Times New Roman CYR" w:ascii="Times New Roman CYR" w:hAnsi="Times New Roman CYR"/>
          <w:color w:val="000000"/>
        </w:rPr>
        <w:t>Сечения жил силовых кабелей выбраны по длительно-допустимому току нагрузки в нормальном, аварийном и послеаварийном режимах с учетом поправочного коэффициента на число кабелей, работающих в одной траншее, и проверены на потерю напряжения и на срабатывание аппаратов защиты при однофазном коротком замыкании в конце линии.</w:t>
      </w:r>
    </w:p>
    <w:p>
      <w:pPr>
        <w:pStyle w:val="Normal"/>
        <w:widowControl/>
        <w:tabs>
          <w:tab w:val="left" w:pos="-426" w:leader="none"/>
        </w:tabs>
        <w:ind w:right="-1" w:firstLine="709"/>
        <w:rPr>
          <w:rFonts w:ascii="Times New Roman CYR" w:hAnsi="Times New Roman CYR" w:cs="Times New Roman CYR"/>
          <w:color w:val="000000"/>
        </w:rPr>
      </w:pPr>
      <w:r>
        <w:rPr>
          <w:color w:val="000000"/>
        </w:rPr>
        <w:t xml:space="preserve">  </w:t>
      </w:r>
      <w:r>
        <w:rPr>
          <w:rFonts w:cs="Times New Roman CYR" w:ascii="Times New Roman CYR" w:hAnsi="Times New Roman CYR"/>
          <w:color w:val="000000"/>
        </w:rPr>
        <w:t xml:space="preserve">Кабели в траншее проложены на глубине 0,7 м от планировочной отметки земли. </w:t>
      </w:r>
      <w:r>
        <w:rPr>
          <w:rFonts w:cs="Times New Roman CYR" w:ascii="Times New Roman CYR" w:hAnsi="Times New Roman CYR"/>
        </w:rPr>
        <w:t>В местах пересечения</w:t>
      </w:r>
      <w:r>
        <w:rPr>
          <w:rFonts w:cs="Times New Roman CYR" w:ascii="Times New Roman CYR" w:hAnsi="Times New Roman CYR"/>
          <w:highlight w:val="white"/>
        </w:rPr>
        <w:t xml:space="preserve"> с инженерными коммуникациями и автомобильными дорогами кабели проложены в жестких двустенных ПНД-трубах.. </w:t>
      </w:r>
      <w:r>
        <w:rPr>
          <w:rFonts w:cs="Times New Roman CYR" w:ascii="Times New Roman CYR" w:hAnsi="Times New Roman CYR"/>
          <w:color w:val="000000"/>
        </w:rPr>
        <w:t xml:space="preserve">Вводы кабелей в жилой дом выполнены в хризотилцементных трубах с уплотнением в соответствии с типовой серией 5.905-26.04. В связи со стеснёнными условиями прокладки наружных инженерных коммуникаций прокладка кабелей 0,4кВ от вводов до вводно-распределительных устройств жилого дома и пристроенных нежилых помещений выполнена по кабельным конструкциям, прокладываемым в подвалах здания. </w:t>
      </w:r>
    </w:p>
    <w:p>
      <w:pPr>
        <w:pStyle w:val="Normal"/>
        <w:widowControl/>
        <w:tabs>
          <w:tab w:val="left" w:pos="-426" w:leader="none"/>
        </w:tabs>
        <w:ind w:right="-1" w:firstLine="709"/>
        <w:rPr>
          <w:color w:val="000000"/>
        </w:rPr>
      </w:pPr>
      <w:r>
        <w:rPr>
          <w:rFonts w:cs="Times New Roman CYR" w:ascii="Times New Roman CYR" w:hAnsi="Times New Roman CYR"/>
          <w:color w:val="000000"/>
        </w:rPr>
        <w:t xml:space="preserve">Запроектированные кабели соответствуют требованиям ГОСТ 31565-2012 </w:t>
      </w:r>
      <w:r>
        <w:rPr>
          <w:color w:val="000000"/>
        </w:rPr>
        <w:t>«</w:t>
      </w:r>
      <w:r>
        <w:rPr>
          <w:rFonts w:cs="Times New Roman CYR" w:ascii="Times New Roman CYR" w:hAnsi="Times New Roman CYR"/>
          <w:color w:val="000000"/>
        </w:rPr>
        <w:t>Кабельные изделия. Требования пожарной безопасности</w:t>
      </w:r>
      <w:r>
        <w:rPr>
          <w:color w:val="000000"/>
        </w:rPr>
        <w:t xml:space="preserve">».      </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Трехфазные питающие и распределительные линии предусмотрены пятипроводными, однофазные групповые линии - трехпроводными.</w:t>
      </w:r>
    </w:p>
    <w:p>
      <w:pPr>
        <w:pStyle w:val="Normal"/>
        <w:widowControl/>
        <w:tabs>
          <w:tab w:val="left" w:pos="-426" w:leader="none"/>
          <w:tab w:val="left" w:pos="165" w:leader="none"/>
          <w:tab w:val="left" w:pos="2685" w:leader="none"/>
        </w:tabs>
        <w:ind w:right="-1" w:firstLine="709"/>
        <w:rPr>
          <w:rFonts w:ascii="Times New Roman CYR" w:hAnsi="Times New Roman CYR" w:cs="Times New Roman CYR"/>
        </w:rPr>
      </w:pPr>
      <w:r>
        <w:rPr>
          <w:rFonts w:cs="Times New Roman CYR" w:ascii="Times New Roman CYR" w:hAnsi="Times New Roman CYR"/>
          <w:color w:val="00000A"/>
        </w:rPr>
        <w:t xml:space="preserve">Сечения кабельных линий запроектированы из условий длительно допустимой токовой нагрузки, допустимых потерь напряжения и допустимого времени срабатывания аппаратов </w:t>
      </w:r>
      <w:r>
        <w:rPr>
          <w:rFonts w:cs="Times New Roman CYR" w:ascii="Times New Roman CYR" w:hAnsi="Times New Roman CYR"/>
        </w:rPr>
        <w:t xml:space="preserve">  </w:t>
      </w:r>
      <w:r>
        <w:rPr>
          <w:rFonts w:cs="Times New Roman CYR" w:ascii="Times New Roman CYR" w:hAnsi="Times New Roman CYR"/>
          <w:color w:val="00000A"/>
        </w:rPr>
        <w:t>защиты при однофазном коротком замыкании.</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Силовые и осветительные сети предусмотрены кабелями и проводами с медными жилами. Внутренние питающие, распределительные и групповые сети выполнены кабелем марки ВВГнг(А)-LS, прокладываемым:</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в подвалах и технических чердаках – кабелем марки ВВГнг(А)-LS открыто в лотках по кабельным конструкциям, а также по стенам и перекрытиям в жестких ПВХ-трубах с креплением накладными скобами;</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вертикальные участки питающих линий квартир (стояки) - открыто кабелем марки ВВГнг(А)-LS в пристенных металлических коробах этажных распределительных устройств;</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поэтажные разводки групповых сетей освещения мест общего пользования -  кабелем марки ВВГнг(А)-LS, прокладываемым в подготовке пола вышележащего этажа, на вертикальных участках - в каналах строительных конструкций;</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групповые сети в квартирах – кабелем марки ВВГнг(А)-LS, прокладываемым в ПВХ-трубах в полу данного (розеточные сети) и вышележащего (осветительные сети) этажа, ответвления электропроводок к выключателям и розеткам выполняются в каналах строительных конструкций;</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групповые сети освещения машинных помещений лифтов, электрощитовых, ИТП, насосной и водомерного узла, технических чердаков и подвалов – кабелем марки ВВГнг(А)-LS открыто по стенам и перекрытиям с креплением накладными скобами;</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групповые сети во встроенно-пристроенных нежилых помещениях - в ПВХ-трубах, прокладываемых в полу и за подвесным потолком, по стенам - в заштукатуриваемых бороздах, частично - в кабель-каналах;</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rPr>
        <w:t>по кровле — открыто в стальных трубах.</w:t>
      </w:r>
    </w:p>
    <w:p>
      <w:pPr>
        <w:pStyle w:val="Normal"/>
        <w:widowControl/>
        <w:tabs>
          <w:tab w:val="left" w:pos="-426" w:leader="none"/>
        </w:tabs>
        <w:ind w:right="-1" w:firstLine="709"/>
        <w:rPr>
          <w:color w:val="000000"/>
        </w:rPr>
      </w:pPr>
      <w:r>
        <w:rPr>
          <w:rFonts w:cs="Times New Roman CYR" w:ascii="Times New Roman CYR" w:hAnsi="Times New Roman CYR"/>
        </w:rPr>
        <w:t>Кабельные линии и электропроводка систем про</w:t>
      </w:r>
      <w:r>
        <w:rPr>
          <w:rFonts w:cs="Times New Roman CYR" w:ascii="Times New Roman CYR" w:hAnsi="Times New Roman CYR"/>
          <w:color w:val="000000"/>
        </w:rPr>
        <w:t xml:space="preserve">тивопожарной защиты и аварийного освещения  на путях эвакуации выполнены огнестойким кабелем марки ВВГнг(А)-FRLS, прокладываемым отдельно от других кабелей в сертифицированных огнестойких лотках фирмы </w:t>
      </w:r>
      <w:r>
        <w:rPr>
          <w:color w:val="000000"/>
        </w:rPr>
        <w:t>«</w:t>
      </w:r>
      <w:r>
        <w:rPr>
          <w:color w:val="000000"/>
          <w:lang w:val="en-US"/>
        </w:rPr>
        <w:t>OSTEC</w:t>
      </w:r>
      <w:r>
        <w:rPr>
          <w:color w:val="000000"/>
        </w:rPr>
        <w:t>».</w:t>
      </w:r>
    </w:p>
    <w:p>
      <w:pPr>
        <w:pStyle w:val="Normal"/>
        <w:widowControl/>
        <w:tabs>
          <w:tab w:val="left" w:pos="-426" w:leader="none"/>
        </w:tabs>
        <w:ind w:right="-1" w:firstLine="709"/>
        <w:rPr>
          <w:rFonts w:ascii="Times New Roman CYR" w:hAnsi="Times New Roman CYR" w:cs="Times New Roman CYR"/>
        </w:rPr>
      </w:pPr>
      <w:r>
        <w:rPr/>
        <w:t xml:space="preserve"> </w:t>
      </w:r>
      <w:r>
        <w:rPr>
          <w:rFonts w:cs="Times New Roman CYR" w:ascii="Times New Roman CYR" w:hAnsi="Times New Roman CYR"/>
          <w:color w:val="00000A"/>
        </w:rPr>
        <w:t>Проектной документацией предусмотрены следующие виды освещения:</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 xml:space="preserve">- общее рабочее; </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 аварийное освещение (эвакуационное) ;</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 аварийное освещение (резервное);</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 переносное электрическое освещение .</w:t>
      </w:r>
    </w:p>
    <w:p>
      <w:pPr>
        <w:pStyle w:val="Normal"/>
        <w:widowControl/>
        <w:tabs>
          <w:tab w:val="left" w:pos="-426" w:leader="none"/>
        </w:tabs>
        <w:ind w:right="-1" w:firstLine="709"/>
        <w:rPr>
          <w:rFonts w:ascii="Times New Roman CYR" w:hAnsi="Times New Roman CYR" w:cs="Times New Roman CYR"/>
          <w:color w:val="00000A"/>
        </w:rPr>
      </w:pPr>
      <w:r>
        <w:rPr>
          <w:rFonts w:cs="Times New Roman CYR" w:ascii="Times New Roman CYR" w:hAnsi="Times New Roman CYR"/>
          <w:color w:val="00000A"/>
        </w:rPr>
        <w:t>Аварийное освещение по надежности электроснабжения отнесено к I категории.</w:t>
      </w:r>
    </w:p>
    <w:p>
      <w:pPr>
        <w:pStyle w:val="Normal"/>
        <w:widowControl/>
        <w:tabs>
          <w:tab w:val="left" w:pos="-426" w:leader="none"/>
          <w:tab w:val="left" w:pos="1143" w:leader="none"/>
          <w:tab w:val="left" w:pos="2059" w:leader="none"/>
          <w:tab w:val="left" w:pos="2975" w:leader="none"/>
          <w:tab w:val="left" w:pos="3891" w:leader="none"/>
          <w:tab w:val="left" w:pos="4807" w:leader="none"/>
          <w:tab w:val="left" w:pos="5723" w:leader="none"/>
          <w:tab w:val="left" w:pos="6639" w:leader="none"/>
          <w:tab w:val="left" w:pos="7555" w:leader="none"/>
          <w:tab w:val="left" w:pos="8471" w:leader="none"/>
          <w:tab w:val="left" w:pos="9387" w:leader="none"/>
          <w:tab w:val="left" w:pos="10303" w:leader="none"/>
          <w:tab w:val="left" w:pos="11219" w:leader="none"/>
          <w:tab w:val="left" w:pos="12135" w:leader="none"/>
          <w:tab w:val="left" w:pos="13051" w:leader="none"/>
          <w:tab w:val="left" w:pos="13967" w:leader="none"/>
          <w:tab w:val="left" w:pos="14883" w:leader="none"/>
        </w:tabs>
        <w:ind w:right="-1" w:firstLine="709"/>
        <w:rPr>
          <w:rFonts w:ascii="Times New Roman CYR" w:hAnsi="Times New Roman CYR" w:cs="Times New Roman CYR"/>
        </w:rPr>
      </w:pPr>
      <w:r>
        <w:rPr>
          <w:rFonts w:cs="Times New Roman CYR" w:ascii="Times New Roman CYR" w:hAnsi="Times New Roman CYR"/>
          <w:color w:val="00000A"/>
        </w:rPr>
        <w:t xml:space="preserve">Выбор освещенности произведен на основании </w:t>
      </w:r>
      <w:r>
        <w:rPr>
          <w:rFonts w:cs="Times New Roman CYR" w:ascii="Times New Roman CYR" w:hAnsi="Times New Roman CYR"/>
        </w:rPr>
        <w:t xml:space="preserve">СП 31-110-2003, СанПиН </w:t>
      </w:r>
      <w:r>
        <w:rPr/>
        <w:t xml:space="preserve">2.2.1/2.1.1.1278-03, </w:t>
      </w:r>
      <w:r>
        <w:rPr>
          <w:rFonts w:cs="Times New Roman CYR" w:ascii="Times New Roman CYR" w:hAnsi="Times New Roman CYR"/>
        </w:rPr>
        <w:t>СП52.13330.2011.</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Напряжение сети общего рабочего и аварийного освещения ~ 380/220В с глухозаземленной нейтралью трансформатора. Питание светильников переносного ремонтного освещения предусмотрено от ящиков с понижающим трансформатором ~220/36В типа ЯТП.</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 xml:space="preserve">Питание рабочего освещения МОП жилого дома предусмотрено от блоков автоматического управления освещением, установленных в 3ВРУ и 4ВРУ, пристроенных нежилых помещений - от щитков рабочего освещения, подключенных к 5ВРУ. Электропитание светильников аварийного освещения жилого дома предусмотрено от панелей аварийного освещения, пристроенных нежилых помещений - от щитков аварийного освещения, запитанных через АВР по I категории надежности электроснабжения. </w:t>
      </w:r>
      <w:r>
        <w:rPr>
          <w:rFonts w:cs="Times New Roman CYR" w:ascii="Times New Roman CYR" w:hAnsi="Times New Roman CYR"/>
          <w:color w:val="000000"/>
        </w:rPr>
        <w:t>Питание рабочего освещения во встроенных офисах предусмотрено от учетно-распределительных щитов ВРУ-оф, аварийного освещения — от щитков аварийного освещения АЩО, запитанных самостоятельными линиями от указанных щитов.</w:t>
      </w:r>
      <w:r>
        <w:rPr>
          <w:rFonts w:cs="Times New Roman CYR" w:ascii="Times New Roman CYR" w:hAnsi="Times New Roman CYR"/>
          <w:color w:val="0066CC"/>
        </w:rPr>
        <w:t xml:space="preserve"> </w:t>
      </w:r>
    </w:p>
    <w:p>
      <w:pPr>
        <w:pStyle w:val="Normal"/>
        <w:widowControl/>
        <w:tabs>
          <w:tab w:val="left" w:pos="-426" w:leader="none"/>
        </w:tabs>
        <w:ind w:right="-1" w:firstLine="709"/>
        <w:rPr/>
      </w:pPr>
      <w:r>
        <w:rPr>
          <w:rFonts w:cs="Times New Roman CYR" w:ascii="Times New Roman CYR" w:hAnsi="Times New Roman CYR"/>
        </w:rPr>
        <w:t xml:space="preserve">Светильники аварийного эвакуационного освещения оснащены автономными источниками бесперебойного электропитания с АКБ. Светильники эвакуационного освещения соответствуют ГОСТ 27900-88 (МЭК598-2-22) и ГОСТ IEC 60598-2-22-2012 “Светильники для аварийного освещения” и имеют необходимый сертификат соответствия. </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В качестве источников света запроектированы люминесцентные лампы, в том числе компактные и компактные интегрированные энергосберегающие, а также светодиодные LED-лампы. Напряжение на лампах ~220В.</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Светильники для люминесцентных ламп приняты с электронной пускорегулирующей аппаратурой ЭПРА, имеют сплошные закрытые рассеиватели. Шахты лифтов оборудованы стационарным освещением. Светильники над наружными входами оснащены компактными люминесцентными лампами, обеспечивающими зажигание до -25 градусов в зимнее время.</w:t>
      </w:r>
    </w:p>
    <w:p>
      <w:pPr>
        <w:pStyle w:val="Normal"/>
        <w:widowControl/>
        <w:tabs>
          <w:tab w:val="left" w:pos="-426" w:leader="none"/>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ind w:right="-1" w:firstLine="709"/>
        <w:rPr>
          <w:rFonts w:ascii="Times New Roman CYR" w:hAnsi="Times New Roman CYR" w:cs="Times New Roman CYR"/>
        </w:rPr>
      </w:pPr>
      <w:r>
        <w:rPr>
          <w:rFonts w:cs="Times New Roman CYR" w:ascii="Times New Roman CYR" w:hAnsi="Times New Roman CYR"/>
        </w:rPr>
        <w:t>Проектом предусмотрена установка клеммных колодок для подключения светильников, а в кухнях и коридорах кроме того — подвесных патронов, присоединяемых к клеммной колодке. В сан.узлах и ванных предусмотрена установка настенных светильников класса защиты 2 от поражения электрическим током. На входе в каждую квартиру устанавлен электрический звонок с кнопкой на ~220 В.</w:t>
      </w:r>
    </w:p>
    <w:p>
      <w:pPr>
        <w:pStyle w:val="Normal"/>
        <w:widowControl/>
        <w:tabs>
          <w:tab w:val="left" w:pos="-426" w:leader="none"/>
        </w:tabs>
        <w:ind w:right="-1" w:firstLine="709"/>
        <w:rPr>
          <w:rFonts w:ascii="Times New Roman CYR" w:hAnsi="Times New Roman CYR" w:cs="Times New Roman CYR"/>
          <w:color w:val="FF0000"/>
          <w:sz w:val="20"/>
          <w:szCs w:val="20"/>
        </w:rPr>
      </w:pPr>
      <w:r>
        <w:rPr>
          <w:rFonts w:cs="Times New Roman CYR" w:ascii="Times New Roman CYR" w:hAnsi="Times New Roman CYR"/>
        </w:rPr>
        <w:t xml:space="preserve">Управление освещением квартир и нежилых помещений предусмотрено выключателями, устанавливаемыми у входов в обслуживаемые помещения.  Управление освещением подвалов, чердаков, машинных отделений лифтов, электрощитовых, ИТП, насосных и водомерных узлов, рабочим освещением поэтажных внеквартирных коридоров предусмотрено выключателями и переключателями, установленными у входов в обслуживаемые помещения. </w:t>
      </w:r>
      <w:r>
        <w:rPr>
          <w:rFonts w:cs="Times New Roman CYR" w:ascii="Times New Roman CYR" w:hAnsi="Times New Roman CYR"/>
          <w:color w:val="000000"/>
        </w:rPr>
        <w:t xml:space="preserve">Управление освещением входов в дом и мусорокамеры, номерного знака, сквозного прохода, огней светового ограждения и линий питания рабочего освещения лестничных клеток и лифтовых холлов предусмотрено автоматическое с помощью фотовыключателя. </w:t>
      </w:r>
      <w:r>
        <w:rPr>
          <w:rFonts w:cs="Times New Roman CYR" w:ascii="Times New Roman CYR" w:hAnsi="Times New Roman CYR"/>
        </w:rPr>
        <w:t>Управление рабочим освещением лестничных клеток и помещений поэтажных мусороприемников выполнено устройствами кратковременного включения освещения. Во встроенно-пристроенных нежилых помещениях на путях эвакуации установлены световые указатели эвакуационных выходов. Светильники эвакуационного освещения, а также указатели эвакуационных выходов включены постоянно</w:t>
      </w:r>
      <w:r>
        <w:rPr>
          <w:rFonts w:cs="Times New Roman CYR" w:ascii="Times New Roman CYR" w:hAnsi="Times New Roman CYR"/>
          <w:color w:val="00000A"/>
        </w:rPr>
        <w:t xml:space="preserve"> </w:t>
      </w:r>
      <w:r>
        <w:rPr>
          <w:rFonts w:cs="Times New Roman CYR" w:ascii="Times New Roman CYR" w:hAnsi="Times New Roman CYR"/>
        </w:rPr>
        <w:t xml:space="preserve">и снабжены блоками бесперебойного питания с АКБ. </w:t>
      </w:r>
      <w:r>
        <w:rPr>
          <w:rFonts w:cs="Times New Roman CYR" w:ascii="Times New Roman CYR" w:hAnsi="Times New Roman CYR"/>
          <w:color w:val="FF0000"/>
          <w:sz w:val="20"/>
          <w:szCs w:val="20"/>
        </w:rPr>
        <w:t xml:space="preserve"> </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Штепсельные розетки приняты на ток 16А с защитным контактом и шторками.</w:t>
      </w:r>
    </w:p>
    <w:p>
      <w:pPr>
        <w:pStyle w:val="Normal"/>
        <w:widowControl/>
        <w:tabs>
          <w:tab w:val="left" w:pos="-426" w:leader="none"/>
          <w:tab w:val="left" w:pos="2520" w:leader="none"/>
        </w:tabs>
        <w:ind w:right="-1" w:firstLine="709"/>
        <w:rPr>
          <w:rFonts w:ascii="Times New Roman CYR" w:hAnsi="Times New Roman CYR" w:cs="Times New Roman CYR"/>
        </w:rPr>
      </w:pPr>
      <w:r>
        <w:rPr>
          <w:rFonts w:cs="Times New Roman CYR" w:ascii="Times New Roman CYR" w:hAnsi="Times New Roman CYR"/>
        </w:rPr>
        <w:t>В помещениях пожароопасных, сырых, влажных и пыльных применено оборудование и осветительная арматура, имеющие соответствующие окружающей среде исполнение и степень защиты.</w:t>
      </w:r>
    </w:p>
    <w:p>
      <w:pPr>
        <w:pStyle w:val="Normal"/>
        <w:widowControl/>
        <w:tabs>
          <w:tab w:val="left" w:pos="-426" w:leader="none"/>
        </w:tabs>
        <w:ind w:right="-1" w:firstLine="709"/>
        <w:rPr>
          <w:color w:val="0066CC"/>
        </w:rPr>
      </w:pPr>
      <w:r>
        <w:rPr>
          <w:rFonts w:cs="Times New Roman CYR" w:ascii="Times New Roman CYR" w:hAnsi="Times New Roman CYR"/>
        </w:rPr>
        <w:t>Резервирование электроэнергии осуществлено следующим образом:</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а) подключение источника электроснабжения - </w:t>
      </w:r>
      <w:r>
        <w:rPr>
          <w:rFonts w:cs="Times New Roman CYR" w:ascii="Times New Roman CYR" w:hAnsi="Times New Roman CYR"/>
          <w:highlight w:val="white"/>
        </w:rPr>
        <w:t xml:space="preserve">действующей </w:t>
      </w:r>
      <w:r>
        <w:rPr>
          <w:rFonts w:cs="Times New Roman CYR" w:ascii="Times New Roman CYR" w:hAnsi="Times New Roman CYR"/>
        </w:rPr>
        <w:t>трансформаторной подстанции ТП-10/0,4кВ/2x1250кВА к двум секционированным взаимно резервирующим кабельным линиям 10 кВ;</w:t>
      </w:r>
    </w:p>
    <w:p>
      <w:pPr>
        <w:pStyle w:val="Normal"/>
        <w:widowControl/>
        <w:tabs>
          <w:tab w:val="left" w:pos="-426" w:leader="none"/>
        </w:tabs>
        <w:ind w:right="-1" w:firstLine="709"/>
        <w:rPr>
          <w:rFonts w:ascii="Times New Roman CYR" w:hAnsi="Times New Roman CYR" w:cs="Times New Roman CYR"/>
        </w:rPr>
      </w:pPr>
      <w:r>
        <w:rPr>
          <w:rFonts w:cs="Times New Roman CYR" w:ascii="Times New Roman CYR" w:hAnsi="Times New Roman CYR"/>
        </w:rPr>
        <w:t xml:space="preserve">б) вводно-распределительные устройства 3ВРУ, 4ВРУ жилого дома и 5ВРУ (неж.пом.) пристроенного здания с нежилыми помещениями запитываются от РУ-0,4 кВ </w:t>
      </w:r>
      <w:r>
        <w:rPr>
          <w:rFonts w:cs="Times New Roman CYR" w:ascii="Times New Roman CYR" w:hAnsi="Times New Roman CYR"/>
          <w:highlight w:val="white"/>
        </w:rPr>
        <w:t xml:space="preserve">действующей </w:t>
      </w:r>
      <w:r>
        <w:rPr>
          <w:rFonts w:cs="Times New Roman CYR" w:ascii="Times New Roman CYR" w:hAnsi="Times New Roman CYR"/>
        </w:rPr>
        <w:t>трансформаторной подстанции ТП-10/0,4кВ/2x1250кВА двумя взаимно резервирующими кабельными линиями 0,4 кВ;</w:t>
      </w:r>
    </w:p>
    <w:p>
      <w:pPr>
        <w:pStyle w:val="Normal"/>
        <w:widowControl/>
        <w:tabs>
          <w:tab w:val="left" w:pos="-426" w:leader="none"/>
        </w:tabs>
        <w:ind w:right="-1" w:firstLine="709"/>
        <w:rPr>
          <w:rFonts w:ascii="Arial CYR" w:hAnsi="Arial CYR" w:cs="Arial CYR"/>
          <w:b/>
          <w:b/>
          <w:bCs/>
          <w:sz w:val="28"/>
          <w:szCs w:val="28"/>
        </w:rPr>
      </w:pPr>
      <w:r>
        <w:rPr>
          <w:rFonts w:cs="Times New Roman CYR" w:ascii="Times New Roman CYR" w:hAnsi="Times New Roman CYR"/>
          <w:color w:val="000000"/>
        </w:rPr>
        <w:t>в) электроприемники I категории по надежности электроснабжения запитываются от вводных устройств жилого дома и пристроенного здания с нежилыми помещениями двумя взаимно резервирующими кабельными линиями через устройство АВР.</w:t>
      </w:r>
      <w:r>
        <w:rPr>
          <w:rFonts w:cs="Arial CYR" w:ascii="Arial CYR" w:hAnsi="Arial CYR"/>
          <w:b/>
          <w:bCs/>
          <w:sz w:val="28"/>
          <w:szCs w:val="28"/>
        </w:rPr>
        <w:t xml:space="preserve"> </w:t>
      </w:r>
    </w:p>
    <w:p>
      <w:pPr>
        <w:pStyle w:val="Normal"/>
        <w:widowControl/>
        <w:tabs>
          <w:tab w:val="left" w:pos="-426" w:leader="none"/>
        </w:tabs>
        <w:ind w:right="-1" w:firstLine="709"/>
        <w:rPr>
          <w:rFonts w:ascii="Arial CYR" w:hAnsi="Arial CYR" w:cs="Arial CYR"/>
          <w:b/>
          <w:b/>
          <w:bCs/>
          <w:sz w:val="28"/>
          <w:szCs w:val="28"/>
        </w:rPr>
      </w:pPr>
      <w:r>
        <w:rPr>
          <w:rFonts w:cs="Times New Roman CYR" w:ascii="Times New Roman CYR" w:hAnsi="Times New Roman CYR"/>
        </w:rPr>
        <w:t>Резервное питание светильников аварийного (эвакуационного) освещения и приборов пожарной сигнализации осуществлено от встроенных в них аккумуляторных батарей.</w:t>
      </w:r>
      <w:r>
        <w:rPr>
          <w:rFonts w:cs="Arial CYR" w:ascii="Arial CYR" w:hAnsi="Arial CYR"/>
          <w:b/>
          <w:bCs/>
          <w:sz w:val="28"/>
          <w:szCs w:val="28"/>
        </w:rPr>
        <w:t xml:space="preserve">    </w:t>
      </w:r>
    </w:p>
    <w:p>
      <w:pPr>
        <w:pStyle w:val="Normal"/>
        <w:tabs>
          <w:tab w:val="left" w:pos="-426" w:leader="none"/>
        </w:tabs>
        <w:ind w:right="-1" w:firstLine="709"/>
        <w:rPr>
          <w:color w:val="000000" w:themeColor="text1"/>
        </w:rPr>
      </w:pPr>
      <w:r>
        <w:rPr>
          <w:color w:val="000000" w:themeColor="text1"/>
        </w:rPr>
      </w:r>
    </w:p>
    <w:p>
      <w:pPr>
        <w:pStyle w:val="Normal"/>
        <w:ind w:right="-1" w:firstLine="709"/>
        <w:rPr>
          <w:rFonts w:eastAsia="Calibri" w:eastAsiaTheme="minorHAnsi"/>
          <w:color w:val="000000" w:themeColor="text1"/>
          <w:lang w:eastAsia="en-US"/>
        </w:rPr>
      </w:pPr>
      <w:r>
        <w:rPr>
          <w:rFonts w:eastAsia="Calibri" w:eastAsiaTheme="minorHAnsi"/>
          <w:color w:val="000000" w:themeColor="text1"/>
          <w:lang w:eastAsia="en-US"/>
        </w:rPr>
      </w:r>
    </w:p>
    <w:p>
      <w:pPr>
        <w:pStyle w:val="Normal"/>
        <w:widowControl/>
        <w:tabs>
          <w:tab w:val="left" w:pos="142" w:leader="none"/>
          <w:tab w:val="left" w:pos="709" w:leader="none"/>
          <w:tab w:val="left" w:pos="10490" w:leader="none"/>
        </w:tabs>
        <w:ind w:right="-1" w:hanging="0"/>
        <w:rPr>
          <w:rFonts w:eastAsia="Times New Roman"/>
          <w:b/>
          <w:b/>
          <w:color w:val="000000" w:themeColor="text1"/>
        </w:rPr>
      </w:pPr>
      <w:r>
        <w:rPr>
          <w:rFonts w:eastAsia="Times New Roman"/>
          <w:b/>
          <w:color w:val="000000" w:themeColor="text1"/>
        </w:rPr>
        <w:t>3.2.4.2. Система водоснабжения</w:t>
      </w:r>
    </w:p>
    <w:p>
      <w:pPr>
        <w:pStyle w:val="Normal"/>
        <w:widowControl/>
        <w:tabs>
          <w:tab w:val="left" w:pos="142" w:leader="none"/>
          <w:tab w:val="left" w:pos="709" w:leader="none"/>
          <w:tab w:val="left" w:pos="10490" w:leader="none"/>
        </w:tabs>
        <w:ind w:right="-1" w:firstLine="709"/>
        <w:rPr>
          <w:rFonts w:eastAsia="Times New Roman"/>
          <w:b/>
          <w:b/>
          <w:color w:val="000000" w:themeColor="text1"/>
          <w:highlight w:val="yellow"/>
        </w:rPr>
      </w:pPr>
      <w:r>
        <w:rPr>
          <w:rFonts w:eastAsia="Times New Roman"/>
          <w:b/>
          <w:color w:val="000000" w:themeColor="text1"/>
          <w:highlight w:val="yellow"/>
        </w:rPr>
      </w:r>
    </w:p>
    <w:p>
      <w:pPr>
        <w:pStyle w:val="Normal"/>
        <w:widowControl/>
        <w:ind w:right="-1" w:firstLine="709"/>
        <w:rPr>
          <w:rFonts w:eastAsia="Times New Roman"/>
          <w:b/>
          <w:b/>
        </w:rPr>
      </w:pPr>
      <w:r>
        <w:rPr>
          <w:rFonts w:eastAsia="Times New Roman"/>
          <w:b/>
        </w:rPr>
        <w:t>Наружные сети водоснабжения и водоотведения</w:t>
      </w:r>
    </w:p>
    <w:p>
      <w:pPr>
        <w:pStyle w:val="Normal"/>
        <w:ind w:right="-1" w:firstLine="709"/>
        <w:rPr/>
      </w:pPr>
      <w:r>
        <w:rPr/>
        <w:t>Проектом предусматривается подключение многоэтажного жилого дома к существующим инженерным сетям водопровода и канализации.</w:t>
      </w:r>
    </w:p>
    <w:p>
      <w:pPr>
        <w:pStyle w:val="Normal"/>
        <w:ind w:right="-1" w:firstLine="709"/>
        <w:rPr/>
      </w:pPr>
      <w:r>
        <w:rPr/>
        <w:t>Проект выполнен на основании технических условий № 5163 от 10.06.2016г, выданных ОАО «ТЕВИС» и задания на проектирование.</w:t>
      </w:r>
    </w:p>
    <w:p>
      <w:pPr>
        <w:pStyle w:val="Normal"/>
        <w:ind w:right="-1" w:firstLine="709"/>
        <w:rPr/>
      </w:pPr>
      <w:r>
        <w:rPr/>
        <w:t>Строительство жилого комплекса (поз.4), включающего 3-х этажное здание с нежилыми помещениями свободной планировки, осуществляется в 2 этапа.</w:t>
      </w:r>
    </w:p>
    <w:p>
      <w:pPr>
        <w:pStyle w:val="Normal"/>
        <w:ind w:right="-1" w:firstLine="709"/>
        <w:rPr/>
      </w:pPr>
      <w:r>
        <w:rPr/>
        <w:t>1 этап — пять сблокированных 10-ти этажных (включая технический чердак) панельных секций жилых домов.</w:t>
      </w:r>
    </w:p>
    <w:p>
      <w:pPr>
        <w:pStyle w:val="Normal"/>
        <w:ind w:right="-1" w:firstLine="709"/>
        <w:rPr/>
      </w:pPr>
      <w:r>
        <w:rPr/>
        <w:t xml:space="preserve">2 этап — две 10-ти этажные секции, сблокированные с 17-ти этажной (включая технический чердак) угловой секцией и пристроенное к 17-ти этажной секции 3-х этажное здание с нежилыми помещениями (офисы). </w:t>
      </w:r>
    </w:p>
    <w:p>
      <w:pPr>
        <w:pStyle w:val="Normal"/>
        <w:ind w:right="-1" w:firstLine="709"/>
        <w:rPr/>
      </w:pPr>
      <w:r>
        <w:rPr/>
      </w:r>
    </w:p>
    <w:p>
      <w:pPr>
        <w:pStyle w:val="Normal"/>
        <w:ind w:right="-1" w:firstLine="709"/>
        <w:rPr>
          <w:b/>
          <w:b/>
        </w:rPr>
      </w:pPr>
      <w:r>
        <w:rPr>
          <w:b/>
        </w:rPr>
        <w:t>1 этап — пять сблокированных 10-ти этажных (включая технический чердак) панельных секций жилых домов.</w:t>
      </w:r>
    </w:p>
    <w:p>
      <w:pPr>
        <w:pStyle w:val="Normal"/>
        <w:ind w:right="-1" w:firstLine="709"/>
        <w:rPr>
          <w:sz w:val="28"/>
          <w:szCs w:val="28"/>
        </w:rPr>
      </w:pPr>
      <w:r>
        <w:rPr>
          <w:sz w:val="28"/>
          <w:szCs w:val="28"/>
        </w:rPr>
      </w:r>
    </w:p>
    <w:p>
      <w:pPr>
        <w:pStyle w:val="Normal"/>
        <w:widowControl/>
        <w:ind w:right="-1" w:firstLine="709"/>
        <w:rPr>
          <w:rFonts w:eastAsia="Times New Roman"/>
          <w:b/>
          <w:b/>
        </w:rPr>
      </w:pPr>
      <w:r>
        <w:rPr>
          <w:rFonts w:eastAsia="Times New Roman"/>
          <w:b/>
        </w:rPr>
        <w:t>Внутренние системы водоснабжения</w:t>
      </w:r>
    </w:p>
    <w:p>
      <w:pPr>
        <w:pStyle w:val="Normal"/>
        <w:ind w:right="-1" w:firstLine="709"/>
        <w:rPr/>
      </w:pPr>
      <w:r>
        <w:rPr/>
        <w:t>Источником водоснабжения жилого дома поз.4(секции 1,2,3,4,5) являются существующие сети водопровода Ду-250(ПНД).</w:t>
      </w:r>
    </w:p>
    <w:p>
      <w:pPr>
        <w:pStyle w:val="Normal"/>
        <w:ind w:right="-1" w:firstLine="709"/>
        <w:rPr/>
      </w:pPr>
      <w:r>
        <w:rPr/>
        <w:t>Проектом предусмотрены следующие системы:</w:t>
      </w:r>
    </w:p>
    <w:p>
      <w:pPr>
        <w:pStyle w:val="Normal"/>
        <w:ind w:right="-1" w:firstLine="709"/>
        <w:rPr/>
      </w:pPr>
      <w:r>
        <w:rPr/>
        <w:t>В1 — водопровод хозяйственно-питьевой;</w:t>
      </w:r>
    </w:p>
    <w:p>
      <w:pPr>
        <w:pStyle w:val="Normal"/>
        <w:ind w:right="-1" w:firstLine="709"/>
        <w:rPr/>
      </w:pPr>
      <w:r>
        <w:rPr/>
        <w:t>Т3; Т4 — горячее водоснабжение с циркуляцией.</w:t>
      </w:r>
    </w:p>
    <w:p>
      <w:pPr>
        <w:pStyle w:val="Normal"/>
        <w:ind w:right="-1" w:firstLine="709"/>
        <w:rPr/>
      </w:pPr>
      <w:r>
        <w:rPr/>
        <w:t>Гарантируемый напор в сети составляет 2,2 кгс/см</w:t>
      </w:r>
      <w:r>
        <w:rPr>
          <w:vertAlign w:val="superscript"/>
        </w:rPr>
        <w:t>2</w:t>
      </w:r>
      <w:r>
        <w:rPr/>
        <w:t>.</w:t>
      </w:r>
    </w:p>
    <w:p>
      <w:pPr>
        <w:pStyle w:val="Normal"/>
        <w:ind w:right="-1" w:firstLine="709"/>
        <w:rPr/>
      </w:pPr>
      <w:r>
        <w:rPr/>
        <w:t>Требуемый напор в сетях жилого дома:</w:t>
      </w:r>
    </w:p>
    <w:p>
      <w:pPr>
        <w:pStyle w:val="Normal"/>
        <w:ind w:right="-1" w:firstLine="709"/>
        <w:rPr>
          <w:vertAlign w:val="superscript"/>
        </w:rPr>
      </w:pPr>
      <w:r>
        <w:rPr/>
        <w:t>- на хозяйственно-питьевые нужды — 4,2 кгс/см</w:t>
      </w:r>
      <w:r>
        <w:rPr>
          <w:vertAlign w:val="superscript"/>
        </w:rPr>
        <w:t>2</w:t>
      </w:r>
    </w:p>
    <w:p>
      <w:pPr>
        <w:pStyle w:val="Normal"/>
        <w:ind w:right="-1" w:firstLine="709"/>
        <w:rPr>
          <w:vertAlign w:val="superscript"/>
        </w:rPr>
      </w:pPr>
      <w:r>
        <w:rPr/>
        <w:t>- горячее водоснабжение — 4,4 кгс/см</w:t>
      </w:r>
      <w:r>
        <w:rPr>
          <w:vertAlign w:val="superscript"/>
        </w:rPr>
        <w:t>2</w:t>
      </w:r>
    </w:p>
    <w:p>
      <w:pPr>
        <w:pStyle w:val="Normal"/>
        <w:ind w:right="-1" w:firstLine="709"/>
        <w:rPr/>
      </w:pPr>
      <w:r>
        <w:rPr>
          <w:b/>
          <w:i/>
        </w:rPr>
        <w:t>Водопровод В1 - хозяйственно-питьевой</w:t>
      </w:r>
      <w:r>
        <w:rPr/>
        <w:t xml:space="preserve"> предусмотрен для подачи воды на хозяйственно питьевые нужды жилого дома. Запитка внутренней системы осуществляется от наружного водопровода одним вводом ПЭ-80 SDR-17 90х5,4 «питьевая» по ГОСТ 18599-2001. Система хозяйственного - питьевого водопровода принята однозонной с нижней развод</w:t>
        <w:softHyphen/>
        <w:t xml:space="preserve">кой. </w:t>
      </w:r>
    </w:p>
    <w:p>
      <w:pPr>
        <w:pStyle w:val="Normal"/>
        <w:ind w:right="-1" w:firstLine="709"/>
        <w:rPr/>
      </w:pPr>
      <w:r>
        <w:rPr/>
        <w:t xml:space="preserve">Для создания необходимого напора в сети хозяйственно-питьевого водопровода, в подвале жилого дом (Секции 3), предусмотрена насосная установка “Аква Вира” ООО "Инженерная энергетическая компания" с насосами 3CR10-3 “GRUNDFOS” (2 рабочих, 1 резервный) производительностью Q=15,08 м³/ч; напором Н=22,0 м; мощностью N=3х1,1 кВт. Для снижения шума и вибрации на насосных установках предусмотрены  виброгасящие опоры. Так же, на напорных и всасывающих линиях насосной станции предусматривается установка виброизолирующих вставок.  </w:t>
      </w:r>
    </w:p>
    <w:p>
      <w:pPr>
        <w:pStyle w:val="Normal"/>
        <w:ind w:right="-1" w:firstLine="709"/>
        <w:rPr/>
      </w:pPr>
      <w:r>
        <w:rPr/>
        <w:t xml:space="preserve"> </w:t>
      </w:r>
      <w:r>
        <w:rPr/>
        <w:t>Для учета расхода холодной воды на вводе водопровода установлен водомерный узел со счётчиком ВСХНд-40. Поквартирный учет холодной  воды производится счетчиками ВСХ-15. В каждой квартире предусмотрены первичные устройства пожаротушения, установленные по</w:t>
        <w:softHyphen/>
        <w:t>сле счетчика. На внутреннем водопроводе по периметру здания через каждые 60-70 м предусмотрена установка поливочных кранов в нишах наружных стен здания.</w:t>
      </w:r>
    </w:p>
    <w:p>
      <w:pPr>
        <w:pStyle w:val="Normal"/>
        <w:ind w:right="-1" w:firstLine="709"/>
        <w:rPr/>
      </w:pPr>
      <w:r>
        <w:rPr/>
        <w:t>Стояки и магистральные трубопроводы системы В1 проектируются из стальных водогазопроводных оцинкованных труб диаметром 15-80мм по ГОСТ 3262-75*. Разводка по санитарным узлам, проектируются из полипропиленовых труб P-РR Дн20, по ТУ 2248-027-70239139-2008.</w:t>
      </w:r>
    </w:p>
    <w:p>
      <w:pPr>
        <w:pStyle w:val="Normal"/>
        <w:ind w:right="-1" w:firstLine="709"/>
        <w:rPr/>
      </w:pPr>
      <w:r>
        <w:rPr/>
        <w:t>Расчетный расход хоз.питьевой воды составляет, (в том числе на горячее водоснабжение): 118,50м</w:t>
      </w:r>
      <w:r>
        <w:rPr>
          <w:vertAlign w:val="superscript"/>
        </w:rPr>
        <w:t>3</w:t>
      </w:r>
      <w:r>
        <w:rPr/>
        <w:t>/сут, 10,55м</w:t>
      </w:r>
      <w:r>
        <w:rPr>
          <w:vertAlign w:val="superscript"/>
        </w:rPr>
        <w:t>3</w:t>
      </w:r>
      <w:r>
        <w:rPr/>
        <w:t>/ч, 4,19л/с.</w:t>
      </w:r>
    </w:p>
    <w:p>
      <w:pPr>
        <w:pStyle w:val="Normal"/>
        <w:ind w:right="-1" w:firstLine="709"/>
        <w:rPr/>
      </w:pPr>
      <w:r>
        <w:rPr/>
        <w:t xml:space="preserve"> </w:t>
      </w:r>
    </w:p>
    <w:p>
      <w:pPr>
        <w:pStyle w:val="Normal"/>
        <w:ind w:right="-1" w:firstLine="709"/>
        <w:rPr/>
      </w:pPr>
      <w:r>
        <w:rPr>
          <w:b/>
          <w:i/>
        </w:rPr>
        <w:t>Горячее водоснабжение</w:t>
      </w:r>
      <w:r>
        <w:rPr/>
        <w:t xml:space="preserve"> предусматривается для подачи воды на хозяйственно-питьевые нужды жилого дома. Подача и учет горячей воды осуществляется от ИТП жилого дома, расположенном в подвале (секции 4). </w:t>
      </w:r>
    </w:p>
    <w:p>
      <w:pPr>
        <w:pStyle w:val="Normal"/>
        <w:ind w:right="-1" w:firstLine="709"/>
        <w:rPr/>
      </w:pPr>
      <w:r>
        <w:rPr/>
        <w:t>Система горячего водоснабжения однозонная с нижней разводкой. Водоразборные стояки объединены кольцующими перемычками по чердаку с присоединениями их к сборным циркуляционным трубопроводам.</w:t>
      </w:r>
    </w:p>
    <w:p>
      <w:pPr>
        <w:pStyle w:val="Normal"/>
        <w:ind w:right="-1" w:firstLine="709"/>
        <w:rPr/>
      </w:pPr>
      <w:r>
        <w:rPr/>
        <w:t>Для регулировки системы горячего водоснабжения на подводках к стоякам в подвале предусмотрена установка балансировочных вентелей типа 15Б1п.</w:t>
      </w:r>
    </w:p>
    <w:p>
      <w:pPr>
        <w:pStyle w:val="Normal"/>
        <w:ind w:right="-1" w:firstLine="709"/>
        <w:rPr/>
      </w:pPr>
      <w:r>
        <w:rPr/>
        <w:t>Для удаления воздуха из системы горячего водоснабжения предусмотрен кран Маевского, устанавливаемый на стояках Т4, на чердаке.</w:t>
      </w:r>
    </w:p>
    <w:p>
      <w:pPr>
        <w:pStyle w:val="Normal"/>
        <w:ind w:right="-1" w:firstLine="709"/>
        <w:rPr/>
      </w:pPr>
      <w:r>
        <w:rPr/>
        <w:t>У основания  стояков Т3,Т4 предусмотрены шаровые краны Ду 15 мм  для спуска воды.</w:t>
      </w:r>
    </w:p>
    <w:p>
      <w:pPr>
        <w:pStyle w:val="Normal"/>
        <w:ind w:right="-1" w:firstLine="709"/>
        <w:rPr/>
      </w:pPr>
      <w:r>
        <w:rPr/>
        <w:t>В каждой квартире предусмотрена установка полотенцесушителей от системы Т3, отключение которых, предусмотрено с помощью шаровых кранов Ду20мм, устанавливаемых на верхних и нижних подводках к прибору.</w:t>
      </w:r>
    </w:p>
    <w:p>
      <w:pPr>
        <w:pStyle w:val="Normal"/>
        <w:ind w:right="-1" w:firstLine="709"/>
        <w:rPr/>
      </w:pPr>
      <w:r>
        <w:rPr/>
        <w:t>Поквартирный учет горячей воды производится счетчиками ВСГ-15</w:t>
      </w:r>
    </w:p>
    <w:p>
      <w:pPr>
        <w:pStyle w:val="Normal"/>
        <w:ind w:right="-1" w:firstLine="709"/>
        <w:rPr/>
      </w:pPr>
      <w:r>
        <w:rPr/>
        <w:t>Стояки и магистральные трубопроводы систем  Т3, Т4 проектируются из стальных водогазопроводных оцинкованных труб диаметром по ГОСТ 3262-75*. Разводка по санитарным узлам, проектируются из полипропиленовых труб P-РR Дн20, по ТУ 2248-027-70239139-2008.</w:t>
      </w:r>
    </w:p>
    <w:p>
      <w:pPr>
        <w:pStyle w:val="Normal"/>
        <w:ind w:right="-1" w:firstLine="709"/>
        <w:rPr/>
      </w:pPr>
      <w:r>
        <w:rPr/>
        <w:t>Расчетный расход горячей воды составляет: 47,40м</w:t>
      </w:r>
      <w:r>
        <w:rPr>
          <w:vertAlign w:val="superscript"/>
        </w:rPr>
        <w:t>3</w:t>
      </w:r>
      <w:r>
        <w:rPr/>
        <w:t>/сут, 6,83м</w:t>
      </w:r>
      <w:r>
        <w:rPr>
          <w:vertAlign w:val="superscript"/>
        </w:rPr>
        <w:t>3</w:t>
      </w:r>
      <w:r>
        <w:rPr/>
        <w:t>/ч, 2,72л/с.</w:t>
      </w:r>
    </w:p>
    <w:p>
      <w:pPr>
        <w:pStyle w:val="Normal"/>
        <w:widowControl/>
        <w:spacing w:beforeAutospacing="1" w:after="119"/>
        <w:ind w:right="-1" w:firstLine="709"/>
        <w:rPr>
          <w:b/>
          <w:b/>
        </w:rPr>
      </w:pPr>
      <w:r>
        <w:rPr>
          <w:b/>
        </w:rPr>
        <w:t>2 этап — две 10-ти этажные секции, сблокированные с 17-ти этажной (включая технический чердак) угловой секцией и пристроенное к 17-ти этажной секции 3-х этажное здание с нежилыми помещениями (офисы).</w:t>
      </w:r>
    </w:p>
    <w:p>
      <w:pPr>
        <w:pStyle w:val="Normal"/>
        <w:ind w:right="-1" w:firstLine="709"/>
        <w:rPr/>
      </w:pPr>
      <w:r>
        <w:rPr/>
      </w:r>
    </w:p>
    <w:p>
      <w:pPr>
        <w:pStyle w:val="Normal"/>
        <w:widowControl/>
        <w:ind w:right="-1" w:firstLine="709"/>
        <w:rPr>
          <w:rFonts w:eastAsia="Times New Roman"/>
          <w:b/>
          <w:b/>
        </w:rPr>
      </w:pPr>
      <w:r>
        <w:rPr>
          <w:rFonts w:eastAsia="Times New Roman"/>
          <w:b/>
        </w:rPr>
        <w:t>Внутренние системы водоснабжения</w:t>
      </w:r>
    </w:p>
    <w:p>
      <w:pPr>
        <w:pStyle w:val="Normal"/>
        <w:ind w:right="-1" w:firstLine="709"/>
        <w:rPr/>
      </w:pPr>
      <w:r>
        <w:rPr/>
        <w:t>Источником водоснабжения жилого дома поз.4(секции 6, 7, 8) являются существующие сети водопровода Ду-250(ПНД).</w:t>
      </w:r>
    </w:p>
    <w:p>
      <w:pPr>
        <w:pStyle w:val="Normal"/>
        <w:ind w:right="-1" w:firstLine="709"/>
        <w:rPr/>
      </w:pPr>
      <w:r>
        <w:rPr/>
        <w:t>Проектом предусмотрены следующие системы:</w:t>
      </w:r>
    </w:p>
    <w:p>
      <w:pPr>
        <w:pStyle w:val="Normal"/>
        <w:ind w:right="-1" w:firstLine="709"/>
        <w:rPr/>
      </w:pPr>
      <w:r>
        <w:rPr/>
        <w:t>В1 — водопровод хозяйственно-питьевой (жилой дом);</w:t>
      </w:r>
    </w:p>
    <w:p>
      <w:pPr>
        <w:pStyle w:val="Normal"/>
        <w:ind w:right="-1" w:firstLine="709"/>
        <w:rPr/>
      </w:pPr>
      <w:r>
        <w:rPr/>
        <w:t xml:space="preserve">В1.1 — водопровод хозяйственно-питьевой (нежилые помещения </w:t>
      </w:r>
    </w:p>
    <w:p>
      <w:pPr>
        <w:pStyle w:val="Normal"/>
        <w:ind w:right="-1" w:firstLine="709"/>
        <w:rPr/>
      </w:pPr>
      <w:r>
        <w:rPr/>
        <w:t>свободной планировки);</w:t>
      </w:r>
    </w:p>
    <w:p>
      <w:pPr>
        <w:pStyle w:val="Normal"/>
        <w:ind w:right="-1" w:firstLine="709"/>
        <w:rPr/>
      </w:pPr>
      <w:r>
        <w:rPr/>
        <w:t>В2 — водопровод противопожарный (жилой дом);</w:t>
      </w:r>
    </w:p>
    <w:p>
      <w:pPr>
        <w:pStyle w:val="Normal"/>
        <w:ind w:right="-1" w:firstLine="709"/>
        <w:rPr/>
      </w:pPr>
      <w:r>
        <w:rPr/>
        <w:t>В2.1 — водопровод противопожарный (нежилые помещения (офисы));</w:t>
      </w:r>
    </w:p>
    <w:p>
      <w:pPr>
        <w:pStyle w:val="Normal"/>
        <w:ind w:right="-1" w:firstLine="709"/>
        <w:rPr/>
      </w:pPr>
      <w:r>
        <w:rPr/>
        <w:t>Т3;Т4 — горячее водоснабжение с циркуляцией (жилой дом);</w:t>
      </w:r>
    </w:p>
    <w:p>
      <w:pPr>
        <w:pStyle w:val="Normal"/>
        <w:ind w:right="-1" w:firstLine="709"/>
        <w:rPr/>
      </w:pPr>
      <w:r>
        <w:rPr/>
        <w:t>Т3.1 — горячее водоснабжение с циркуляцией (нежилые помещения</w:t>
      </w:r>
    </w:p>
    <w:p>
      <w:pPr>
        <w:pStyle w:val="Normal"/>
        <w:ind w:right="-1" w:firstLine="709"/>
        <w:rPr/>
      </w:pPr>
      <w:r>
        <w:rPr/>
        <w:t>(офисы)).</w:t>
      </w:r>
    </w:p>
    <w:p>
      <w:pPr>
        <w:pStyle w:val="Normal"/>
        <w:ind w:right="-1" w:firstLine="709"/>
        <w:rPr/>
      </w:pPr>
      <w:r>
        <w:rPr/>
        <w:t>Гарантируемый напор в сети составляет 2,2 кгс/см</w:t>
      </w:r>
      <w:r>
        <w:rPr>
          <w:vertAlign w:val="superscript"/>
        </w:rPr>
        <w:t>2</w:t>
      </w:r>
      <w:r>
        <w:rPr/>
        <w:t xml:space="preserve">. </w:t>
      </w:r>
    </w:p>
    <w:p>
      <w:pPr>
        <w:pStyle w:val="Normal"/>
        <w:ind w:right="-1" w:firstLine="709"/>
        <w:rPr/>
      </w:pPr>
      <w:r>
        <w:rPr/>
        <w:t>Требуемый напор в сетях жилого дома поз.4(секции 6,7,8):</w:t>
      </w:r>
    </w:p>
    <w:p>
      <w:pPr>
        <w:pStyle w:val="Normal"/>
        <w:tabs>
          <w:tab w:val="left" w:pos="720" w:leader="none"/>
        </w:tabs>
        <w:ind w:right="-1" w:firstLine="709"/>
        <w:rPr>
          <w:vertAlign w:val="superscript"/>
        </w:rPr>
      </w:pPr>
      <w:r>
        <w:rPr/>
        <w:t>- на хозяйственно-питьевые нужды - 4,30 кгс/см</w:t>
      </w:r>
      <w:r>
        <w:rPr>
          <w:vertAlign w:val="superscript"/>
        </w:rPr>
        <w:t>2</w:t>
      </w:r>
    </w:p>
    <w:p>
      <w:pPr>
        <w:pStyle w:val="Normal"/>
        <w:tabs>
          <w:tab w:val="left" w:pos="720" w:leader="none"/>
        </w:tabs>
        <w:ind w:right="-1" w:firstLine="709"/>
        <w:rPr>
          <w:vertAlign w:val="superscript"/>
        </w:rPr>
      </w:pPr>
      <w:r>
        <w:rPr/>
        <w:t>- на внутреннее пожаротушение — 6,50 кгс/см</w:t>
      </w:r>
      <w:r>
        <w:rPr>
          <w:vertAlign w:val="superscript"/>
        </w:rPr>
        <w:t>2</w:t>
      </w:r>
    </w:p>
    <w:p>
      <w:pPr>
        <w:pStyle w:val="Normal"/>
        <w:tabs>
          <w:tab w:val="left" w:pos="720" w:leader="none"/>
        </w:tabs>
        <w:ind w:right="-1" w:firstLine="709"/>
        <w:rPr>
          <w:vertAlign w:val="superscript"/>
        </w:rPr>
      </w:pPr>
      <w:r>
        <w:rPr/>
        <w:t>- горячее водоснабжение - 4,60 кгс/см</w:t>
      </w:r>
      <w:r>
        <w:rPr>
          <w:vertAlign w:val="superscript"/>
        </w:rPr>
        <w:t>2</w:t>
      </w:r>
    </w:p>
    <w:p>
      <w:pPr>
        <w:pStyle w:val="Normal"/>
        <w:ind w:right="-1" w:firstLine="709"/>
        <w:rPr/>
      </w:pPr>
      <w:r>
        <w:rPr/>
        <w:t>Требуемый напор в сетях 3-х этажного здания:</w:t>
      </w:r>
    </w:p>
    <w:p>
      <w:pPr>
        <w:pStyle w:val="Normal"/>
        <w:tabs>
          <w:tab w:val="left" w:pos="720" w:leader="none"/>
        </w:tabs>
        <w:ind w:right="-1" w:firstLine="709"/>
        <w:rPr>
          <w:vertAlign w:val="superscript"/>
        </w:rPr>
      </w:pPr>
      <w:r>
        <w:rPr/>
        <w:t>- на хозяйственно-питьевые нужды - 3,00 кгс/см</w:t>
      </w:r>
      <w:r>
        <w:rPr>
          <w:vertAlign w:val="superscript"/>
        </w:rPr>
        <w:t>2</w:t>
      </w:r>
    </w:p>
    <w:p>
      <w:pPr>
        <w:pStyle w:val="Normal"/>
        <w:tabs>
          <w:tab w:val="left" w:pos="720" w:leader="none"/>
        </w:tabs>
        <w:ind w:right="-1" w:firstLine="709"/>
        <w:rPr>
          <w:vertAlign w:val="superscript"/>
        </w:rPr>
      </w:pPr>
      <w:r>
        <w:rPr/>
        <w:t>- на внутреннее пожаротушение — 2,90 кгс/см</w:t>
      </w:r>
      <w:r>
        <w:rPr>
          <w:vertAlign w:val="superscript"/>
        </w:rPr>
        <w:t>2</w:t>
      </w:r>
    </w:p>
    <w:p>
      <w:pPr>
        <w:pStyle w:val="Normal"/>
        <w:widowControl/>
        <w:spacing w:beforeAutospacing="1" w:after="0"/>
        <w:ind w:right="-1" w:firstLine="709"/>
        <w:rPr/>
      </w:pPr>
      <w:r>
        <w:rPr>
          <w:b/>
          <w:i/>
        </w:rPr>
        <w:t>Водопровод  хозяйственно-питьевой</w:t>
      </w:r>
      <w:r>
        <w:rPr/>
        <w:t xml:space="preserve"> предусмотрен для подачи воды на хозяйственно питьевые нужды жилого дома. Существующая городская сеть, к которой выполняется подключение проектируемого жилого дома поз.4, обеспечивает гарантируемый напор в сети 2,2 кгс/см2. </w:t>
      </w:r>
    </w:p>
    <w:p>
      <w:pPr>
        <w:pStyle w:val="Normal"/>
        <w:widowControl/>
        <w:spacing w:beforeAutospacing="1" w:after="0"/>
        <w:ind w:right="-1" w:firstLine="709"/>
        <w:rPr/>
      </w:pPr>
      <w:r>
        <w:rPr>
          <w:b/>
          <w:i/>
          <w:color w:val="000000"/>
        </w:rPr>
        <w:t>Водопровод В1</w:t>
      </w:r>
      <w:r>
        <w:rPr>
          <w:color w:val="000000"/>
        </w:rPr>
        <w:t xml:space="preserve"> хозяйственно-питьевой предусмотрен для подачи воды на хозяйственно-питьевые нужды жилого дома поз.4(секции 6,7,8) и офисов, расположенных на 1-ом этаже секции 8. Запитка внутренней системы осуществляется от наружного водопровода двумя вводами ПЭ-80 SDR-17 110х6,60 «питьевая» по ГОСТ 18599-2001. </w:t>
      </w:r>
      <w:r>
        <w:rPr/>
        <w:t>На вводах холодного и горячего водоснабжения в квартиры выполнены кран-фильтры КВФ-15. Система В1 жилого дома предусмотрена с нижней разводкой.</w:t>
      </w:r>
    </w:p>
    <w:p>
      <w:pPr>
        <w:pStyle w:val="Normal"/>
        <w:ind w:right="-1" w:firstLine="709"/>
        <w:rPr/>
      </w:pPr>
      <w:r>
        <w:rPr/>
        <w:t xml:space="preserve">Для создания необходимого напора в сети хозяйственно-питьевого водопровода жилого дома поз.4(секции 6,7,8) предусмотрена повысительная насосная установка “Аква Вира” ООО "Инженерная энергетическая компания" с насосами 3CR10-3 исп.1 фирмы “GRUNDFOS” (2раб.; 1рез.), расположенная в подвале (Секции 8) в осях 2с-4с; Пс-Рс. Производительностью Q=14,00 м3/ч; напором Н=24,0м; мощностью N=3х1,1кВт. </w:t>
      </w:r>
    </w:p>
    <w:p>
      <w:pPr>
        <w:pStyle w:val="Normal"/>
        <w:ind w:right="-1" w:firstLine="709"/>
        <w:rPr/>
      </w:pPr>
      <w:r>
        <w:rPr/>
        <w:t xml:space="preserve">Для снижения шума и вибрации на насосных установках предусмотрены  виброгасящие опоры. Так же, на напорных и всасывающих линиях насосной станции предусматривается установка виброизолирующих вставок.  </w:t>
      </w:r>
    </w:p>
    <w:p>
      <w:pPr>
        <w:pStyle w:val="Normal"/>
        <w:ind w:right="-1" w:firstLine="709"/>
        <w:rPr/>
      </w:pPr>
      <w:r>
        <w:rPr/>
        <w:t xml:space="preserve">Для учета расхода воды жилого дома поз.4(секции 6,7,8) на вводе в осях 2с-4с; Пс-Рс установлен водомерный узел со счетчиком ВСХНд-40 Ø40мм. Для очистки воды перед счетчиком устанавливается магнитный фильтр ФМФ-80. Поквартирный учет холодной воды производиться счетчиками ВСХ-15. </w:t>
      </w:r>
    </w:p>
    <w:p>
      <w:pPr>
        <w:pStyle w:val="Normal"/>
        <w:ind w:right="-1" w:firstLine="709"/>
        <w:rPr/>
      </w:pPr>
      <w:r>
        <w:rPr/>
        <w:t>Стояки и магистральные трубопроводы системы В1 проектируются из стальных водогазопроводных оцинкованных труб диаметром 15-100мм по ГОСТ 3262-75*. Разводка по санитарным узлам, проектируются из полипропиленовых труб P-РR Дн20, по ТУ 2248-027-70239139-2008.</w:t>
      </w:r>
    </w:p>
    <w:p>
      <w:pPr>
        <w:pStyle w:val="Normal"/>
        <w:ind w:right="-1" w:firstLine="709"/>
        <w:rPr/>
      </w:pPr>
      <w:r>
        <w:rPr/>
        <w:t>Расчетный расход хоз.питьевой воды жилого дома (секции 6,7,8) составляет, (в том числе на горячее водоснабжение): 105,92м</w:t>
      </w:r>
      <w:r>
        <w:rPr>
          <w:vertAlign w:val="superscript"/>
        </w:rPr>
        <w:t>3</w:t>
      </w:r>
      <w:r>
        <w:rPr/>
        <w:t>/сут, 9,68м</w:t>
      </w:r>
      <w:r>
        <w:rPr>
          <w:vertAlign w:val="superscript"/>
        </w:rPr>
        <w:t>3</w:t>
      </w:r>
      <w:r>
        <w:rPr/>
        <w:t>/ч, 3,89л/с.</w:t>
      </w:r>
    </w:p>
    <w:p>
      <w:pPr>
        <w:pStyle w:val="Normal"/>
        <w:widowControl/>
        <w:spacing w:beforeAutospacing="1" w:after="0"/>
        <w:ind w:right="-1" w:firstLine="709"/>
        <w:rPr/>
      </w:pPr>
      <w:r>
        <w:rPr>
          <w:b/>
          <w:i/>
        </w:rPr>
        <w:t>Водопровод В1.1</w:t>
      </w:r>
      <w:r>
        <w:rPr/>
        <w:t xml:space="preserve"> хозяйственно-питьевой, предусмотрен для подачи воды на хозяйственно-питьевые нужды 3-х этажного здания с нежилыми помещениями (офисы). Запитка внутренней системы осуществляется от наружного водопровода одним вводом ПЭ-80 SDR-17 63х3,80 «питьевая» по ГОСТ 18599-2001. Система В1.1</w:t>
      </w:r>
      <w:r>
        <w:rPr>
          <w:color w:val="000000"/>
        </w:rPr>
        <w:t xml:space="preserve"> предусмотрена с верхней разводкой.</w:t>
      </w:r>
      <w:r>
        <w:rPr/>
        <w:t xml:space="preserve"> Для создания необходимого напора в сети хозяйственно-питьевого водопровода нежилых помещений (офисы) предусмотрена повысительная насосная установка “Аква Вира” ООО "Инженерная энергетическая компания" с насосами 2CR1-2 исп.1 фирмы “GRUNDFOS” (1раб.; 1рез.), расположенная в подвале в осях 5с-6с; Ас-Бс. Производительностью Q=1,55 м3/ч; напором Н=8,0м; мощностью N=2х0,37кВт. </w:t>
      </w:r>
    </w:p>
    <w:p>
      <w:pPr>
        <w:pStyle w:val="Normal"/>
        <w:ind w:right="-1" w:firstLine="709"/>
        <w:rPr/>
      </w:pPr>
      <w:r>
        <w:rPr/>
        <w:t>Для учета расхода воды 3-х этажного здания с нежилыми помещениями на вводе в осях 5с-6с; А-Б, установлен водомерный узел оборудованный магнитным фильтром ФМФ-50, счетчиком ВСХд-15 Ø15мм и задвижкой на обводной линии.</w:t>
      </w:r>
    </w:p>
    <w:p>
      <w:pPr>
        <w:pStyle w:val="Normal"/>
        <w:ind w:right="-1" w:firstLine="709"/>
        <w:rPr/>
      </w:pPr>
      <w:r>
        <w:rPr/>
        <w:t>Расчетный расход хоз.питьевой воды нежилых помещений (офисы) составляет, (в том числе на горячее водоснабжение): 0,45м</w:t>
      </w:r>
      <w:r>
        <w:rPr>
          <w:vertAlign w:val="superscript"/>
        </w:rPr>
        <w:t>3</w:t>
      </w:r>
      <w:r>
        <w:rPr/>
        <w:t>/сут, 0,39м</w:t>
      </w:r>
      <w:r>
        <w:rPr>
          <w:vertAlign w:val="superscript"/>
        </w:rPr>
        <w:t>3</w:t>
      </w:r>
      <w:r>
        <w:rPr/>
        <w:t>/ч, 0,26л/с.</w:t>
      </w:r>
    </w:p>
    <w:p>
      <w:pPr>
        <w:pStyle w:val="Normal"/>
        <w:ind w:right="-1" w:firstLine="709"/>
        <w:rPr/>
      </w:pPr>
      <w:r>
        <w:rPr/>
        <w:t xml:space="preserve"> </w:t>
      </w:r>
    </w:p>
    <w:p>
      <w:pPr>
        <w:pStyle w:val="Normal"/>
        <w:ind w:right="-1" w:firstLine="709"/>
        <w:rPr/>
      </w:pPr>
      <w:r>
        <w:rPr>
          <w:b/>
          <w:i/>
        </w:rPr>
        <w:t>Водопровод В2</w:t>
      </w:r>
      <w:r>
        <w:rPr/>
        <w:t xml:space="preserve"> - противопожарный предусмотрен для подачи воды на противопожарные нужды жилого дома поз.4(секции 8) и офисов, расположенных на 1-ом этаже секции 8. Пожаротушение осуществляется от внутренних пожарных кранов, расположенных на каждом этаже жилого дома, которые устанавливаются в пожарных шкафах ШПК-Пульс-320Н и ШПК-Пульс-320-21Н.</w:t>
      </w:r>
    </w:p>
    <w:p>
      <w:pPr>
        <w:pStyle w:val="Normal"/>
        <w:ind w:right="-1" w:firstLine="709"/>
        <w:rPr/>
      </w:pPr>
      <w:r>
        <w:rPr/>
        <w:t>Противопожарная сеть в жилом доме поз.4 (секции 8) принята кольцевой и присоединяется двумя вводами к наружной сети.</w:t>
      </w:r>
    </w:p>
    <w:p>
      <w:pPr>
        <w:pStyle w:val="Normal"/>
        <w:ind w:right="-1" w:firstLine="709"/>
        <w:rPr/>
      </w:pPr>
      <w:r>
        <w:rPr/>
        <w:t xml:space="preserve">Расчетный расход воды на внутреннее пожаротушение жилого дома поз.4 (секции 8) составляет 3 струи по 2,6л/с. </w:t>
      </w:r>
    </w:p>
    <w:p>
      <w:pPr>
        <w:pStyle w:val="Normal"/>
        <w:ind w:right="-1" w:firstLine="709"/>
        <w:rPr/>
      </w:pPr>
      <w:r>
        <w:rPr/>
        <w:t>Согласно СП 54.1333.2011 «Здания жилые многоквартирные» п.7.4.5 в каждой квартире предусмотрены первичные устройства внутриквартирного пожаротушения, устанавливаемые после счетчиков.</w:t>
      </w:r>
    </w:p>
    <w:p>
      <w:pPr>
        <w:pStyle w:val="Normal"/>
        <w:ind w:right="-1" w:firstLine="709"/>
        <w:rPr/>
      </w:pPr>
      <w:r>
        <w:rPr/>
        <w:t>Для обеспечения потребного расхода и напора в сети при пожаротушении жилого дома поз.4 (секции8) в подвале жилого дома (секции 8) в осях 1с-2с; Пс-Рс предусматривается повысительная установка пожаротушения ГРАНФЛОУ УНВп с насосами 2DPV 25/3 фирмы «АДЛ» производительностью Q=28,0м³/ч; напором Н=43,0м; мощностью N=2х5,50кВт (1 рабочий, 1 резервный).</w:t>
      </w:r>
    </w:p>
    <w:p>
      <w:pPr>
        <w:pStyle w:val="Normal"/>
        <w:ind w:right="-1" w:firstLine="709"/>
        <w:rPr/>
      </w:pPr>
      <w:r>
        <w:rPr/>
        <w:t xml:space="preserve">Для снижения давления у ПК с 1 по 7 этажи между пожарным клапаном и соединительной головкой предусматривается установка диафрагмы. </w:t>
      </w:r>
    </w:p>
    <w:p>
      <w:pPr>
        <w:pStyle w:val="Normal"/>
        <w:ind w:right="-1" w:firstLine="709"/>
        <w:rPr/>
      </w:pPr>
      <w:r>
        <w:rPr/>
        <w:t xml:space="preserve"> </w:t>
      </w:r>
      <w:r>
        <w:rPr/>
        <w:t xml:space="preserve">На сети противопожарного водопровода (секции 8)  устанавливаются 2 выведенных наружу патрубка с соединительными головками диаметром 80 мм для подключения передвижной техники с установкой в здании обратного клапана и нормальной открытой опломбированной задвижки.     </w:t>
      </w:r>
    </w:p>
    <w:p>
      <w:pPr>
        <w:pStyle w:val="Normal"/>
        <w:ind w:right="-1" w:firstLine="709"/>
        <w:rPr/>
      </w:pPr>
      <w:r>
        <w:rPr/>
        <w:t>Стояки и магистральные трубопроводы системы В2 проектируются из стальных электросварных труб Ду57х3,0-89х3,0 по ГОСТ 10704-91*.</w:t>
      </w:r>
    </w:p>
    <w:p>
      <w:pPr>
        <w:pStyle w:val="Normal"/>
        <w:ind w:right="-1" w:firstLine="709"/>
        <w:rPr/>
      </w:pPr>
      <w:r>
        <w:rPr>
          <w:b/>
          <w:i/>
        </w:rPr>
        <w:t>Водопровод В2.1</w:t>
      </w:r>
      <w:r>
        <w:rPr/>
        <w:t xml:space="preserve"> - противопожарный предусмотрен для подачи воды на противопожарные нужды 3-х этажного здания с нежилыми помещениями (офисы). Пожаротушение осуществляется от внутренних пожарных кранов, расположенных на каждом этаже, которые устанавливаются в пожарных шкафах ШПК-Пульс-320Н.</w:t>
      </w:r>
    </w:p>
    <w:p>
      <w:pPr>
        <w:pStyle w:val="Normal"/>
        <w:ind w:right="-1" w:firstLine="709"/>
        <w:rPr/>
      </w:pPr>
      <w:r>
        <w:rPr/>
        <w:t>Противопожарная сеть в 3-х этажном здании принята тупиковой и присоединяется одним вводом к наружной сети.</w:t>
      </w:r>
    </w:p>
    <w:p>
      <w:pPr>
        <w:pStyle w:val="Normal"/>
        <w:ind w:right="-1" w:firstLine="709"/>
        <w:rPr/>
      </w:pPr>
      <w:r>
        <w:rPr/>
        <w:t xml:space="preserve">Расчетный расход воды на внутреннее пожаротушение составляет 1 струя по 2,6л/с. </w:t>
      </w:r>
    </w:p>
    <w:p>
      <w:pPr>
        <w:pStyle w:val="Normal"/>
        <w:ind w:right="-1" w:firstLine="709"/>
        <w:rPr/>
      </w:pPr>
      <w:r>
        <w:rPr/>
        <w:t>Для обеспечения потребного расхода и напора в сети при пожаротушении 3-х этажного здания с нежилыми помещениями (офисы), в подвале в осях 5с-6с; А-Б, предусматривается повысительная установка пожаротушения ГРАНФЛОУ УНВп с насосами 2DPV 10/1 фирмы «АДЛ» производительностью Q=9,36м³/ч; напором Н=7,0м; мощностью N=2х0,75кВт (1 рабочий, 1 резервный).</w:t>
      </w:r>
    </w:p>
    <w:p>
      <w:pPr>
        <w:pStyle w:val="Normal"/>
        <w:ind w:right="-1" w:firstLine="709"/>
        <w:rPr/>
      </w:pPr>
      <w:r>
        <w:rPr/>
        <w:t>Стояки и магистральные трубопроводы системы В2.1 проектируются из стальных электросварных труб по ГОСТ 10704-91*.</w:t>
      </w:r>
    </w:p>
    <w:p>
      <w:pPr>
        <w:pStyle w:val="Normal"/>
        <w:ind w:right="-1" w:firstLine="709"/>
        <w:rPr/>
      </w:pPr>
      <w:r>
        <w:rPr>
          <w:highlight w:val="yellow"/>
        </w:rPr>
        <w:t xml:space="preserve"> </w:t>
      </w:r>
      <w:r>
        <w:rPr/>
        <w:t xml:space="preserve"> </w:t>
      </w:r>
    </w:p>
    <w:p>
      <w:pPr>
        <w:pStyle w:val="Normal"/>
        <w:ind w:right="-1" w:firstLine="709"/>
        <w:rPr>
          <w:b/>
          <w:b/>
          <w:i/>
          <w:i/>
        </w:rPr>
      </w:pPr>
      <w:r>
        <w:rPr>
          <w:b/>
          <w:i/>
        </w:rPr>
        <w:t xml:space="preserve">Горячее водоснабжение. </w:t>
      </w:r>
    </w:p>
    <w:p>
      <w:pPr>
        <w:pStyle w:val="Normal"/>
        <w:ind w:right="-1" w:firstLine="709"/>
        <w:rPr/>
      </w:pPr>
      <w:r>
        <w:rPr>
          <w:b/>
          <w:i/>
        </w:rPr>
        <w:t>Горячее водоснабжение жилого дома</w:t>
      </w:r>
      <w:r>
        <w:rPr/>
        <w:t xml:space="preserve"> поз.4(секции 6,7,8) с офисами на 1-ом этаже (секции 8), предусматривается для подачи воды на хозяйственно-питьевые нужды. Подача и учет горячей воды осуществляется от ИТП жилого дома, расположенном в подвале (секции 6) в осях 5с-7с, Ас-Гс на отм. -2,500.</w:t>
      </w:r>
    </w:p>
    <w:p>
      <w:pPr>
        <w:pStyle w:val="Normal"/>
        <w:ind w:right="-1" w:firstLine="709"/>
        <w:rPr/>
      </w:pPr>
      <w:r>
        <w:rPr/>
        <w:t>Система горячего водоснабжения жилого дома поз.4 предусмотрена с нижней разводкой. В каждой квартире предусмотрена установка полотенцесушителей от системы Т3, отключение которых, предусмотрено с помощью шаровых кранов Ду20мм, устанавливаемых на верхних и нижних подводках к прибору.</w:t>
      </w:r>
    </w:p>
    <w:p>
      <w:pPr>
        <w:pStyle w:val="Normal"/>
        <w:ind w:right="-1" w:firstLine="709"/>
        <w:rPr/>
      </w:pPr>
      <w:r>
        <w:rPr/>
        <w:t>Поквартирный учет горячей воды производится счетчиками ВСГ-15</w:t>
      </w:r>
    </w:p>
    <w:p>
      <w:pPr>
        <w:pStyle w:val="Normal"/>
        <w:ind w:right="-1" w:firstLine="709"/>
        <w:rPr/>
      </w:pPr>
      <w:r>
        <w:rPr/>
        <w:t>Расчетный расход горячей воды составляет: 42,38м</w:t>
      </w:r>
      <w:r>
        <w:rPr>
          <w:vertAlign w:val="superscript"/>
        </w:rPr>
        <w:t>3</w:t>
      </w:r>
      <w:r>
        <w:rPr/>
        <w:t>/сут, 6,27м</w:t>
      </w:r>
      <w:r>
        <w:rPr>
          <w:vertAlign w:val="superscript"/>
        </w:rPr>
        <w:t>3</w:t>
      </w:r>
      <w:r>
        <w:rPr/>
        <w:t>/ч, 2,53л/с</w:t>
      </w:r>
    </w:p>
    <w:p>
      <w:pPr>
        <w:pStyle w:val="Normal"/>
        <w:ind w:right="-1" w:firstLine="709"/>
        <w:rPr/>
      </w:pPr>
      <w:r>
        <w:rPr/>
        <w:t>Стояки и магистральные трубопроводы систем  Т3, Т4 проектируются из стальных водогазопроводных оцинкованных труб диаметром по ГОСТ 3262-75*. Разводка по санитарным узлам, проектируются из полипропиленовых труб P-РR Дн20, по ТУ 2248-027-70239139-2008.</w:t>
      </w:r>
    </w:p>
    <w:p>
      <w:pPr>
        <w:pStyle w:val="Normal"/>
        <w:ind w:right="-1" w:firstLine="709"/>
        <w:rPr/>
      </w:pPr>
      <w:r>
        <w:rPr>
          <w:b/>
          <w:i/>
        </w:rPr>
        <w:t>Горячее водоснабжение 3-х этажного здания</w:t>
      </w:r>
      <w:r>
        <w:rPr/>
        <w:t xml:space="preserve"> с нежилыми помещениями (офисы), предусматривается для подачи воды на хозяйственно-питьевые нужды. Подача горячей воды осуществляется при помощи водонагревателей Electrolux EWH 50 CENTURIO DL, объемом 50л, расположенные на каждом этаже, в каждом санузле.</w:t>
      </w:r>
    </w:p>
    <w:p>
      <w:pPr>
        <w:pStyle w:val="Normal"/>
        <w:widowControl/>
        <w:tabs>
          <w:tab w:val="left" w:pos="9639" w:leader="none"/>
        </w:tabs>
        <w:ind w:right="-1" w:firstLine="709"/>
        <w:rPr>
          <w:color w:val="000000" w:themeColor="text1"/>
          <w:highlight w:val="yellow"/>
          <w:lang w:eastAsia="en-US"/>
        </w:rPr>
      </w:pPr>
      <w:r>
        <w:rPr>
          <w:color w:val="000000" w:themeColor="text1"/>
          <w:highlight w:val="yellow"/>
          <w:lang w:eastAsia="en-US"/>
        </w:rPr>
      </w:r>
    </w:p>
    <w:p>
      <w:pPr>
        <w:pStyle w:val="Normal"/>
        <w:widowControl/>
        <w:tabs>
          <w:tab w:val="left" w:pos="9639" w:leader="none"/>
        </w:tabs>
        <w:ind w:right="-1" w:firstLine="709"/>
        <w:rPr>
          <w:color w:val="000000" w:themeColor="text1"/>
          <w:highlight w:val="yellow"/>
          <w:lang w:eastAsia="en-US"/>
        </w:rPr>
      </w:pPr>
      <w:r>
        <w:rPr>
          <w:color w:val="000000" w:themeColor="text1"/>
          <w:highlight w:val="yellow"/>
          <w:lang w:eastAsia="en-US"/>
        </w:rPr>
      </w:r>
    </w:p>
    <w:p>
      <w:pPr>
        <w:pStyle w:val="Normal"/>
        <w:widowControl/>
        <w:tabs>
          <w:tab w:val="left" w:pos="9639" w:leader="none"/>
        </w:tabs>
        <w:ind w:right="-1" w:hanging="0"/>
        <w:rPr>
          <w:rFonts w:eastAsia="Times New Roman"/>
          <w:b/>
          <w:b/>
          <w:color w:val="000000" w:themeColor="text1"/>
          <w:highlight w:val="yellow"/>
        </w:rPr>
      </w:pPr>
      <w:r>
        <w:rPr>
          <w:rFonts w:eastAsia="Times New Roman"/>
          <w:b/>
          <w:color w:val="000000" w:themeColor="text1"/>
        </w:rPr>
        <w:t>3.2.4.3. Система водоотведения</w:t>
      </w:r>
    </w:p>
    <w:p>
      <w:pPr>
        <w:pStyle w:val="Normal"/>
        <w:widowControl/>
        <w:tabs>
          <w:tab w:val="left" w:pos="9639" w:leader="none"/>
        </w:tabs>
        <w:ind w:right="-1" w:firstLine="709"/>
        <w:rPr>
          <w:rFonts w:eastAsia="Times New Roman"/>
          <w:b/>
          <w:b/>
          <w:color w:val="000000" w:themeColor="text1"/>
          <w:highlight w:val="yellow"/>
        </w:rPr>
      </w:pPr>
      <w:r>
        <w:rPr>
          <w:rFonts w:eastAsia="Times New Roman"/>
          <w:b/>
          <w:color w:val="000000" w:themeColor="text1"/>
          <w:highlight w:val="yellow"/>
        </w:rPr>
      </w:r>
    </w:p>
    <w:p>
      <w:pPr>
        <w:pStyle w:val="Normal"/>
        <w:ind w:right="-1" w:firstLine="709"/>
        <w:rPr>
          <w:b/>
          <w:b/>
        </w:rPr>
      </w:pPr>
      <w:r>
        <w:rPr>
          <w:b/>
        </w:rPr>
        <w:t>1 этап — пять сблокированных 10-ти этажных (включая технический чердак) панельных секций жилых домов.</w:t>
      </w:r>
    </w:p>
    <w:p>
      <w:pPr>
        <w:pStyle w:val="Normal"/>
        <w:widowControl/>
        <w:ind w:right="-1" w:firstLine="709"/>
        <w:rPr>
          <w:rFonts w:eastAsia="Times New Roman"/>
          <w:b/>
          <w:b/>
        </w:rPr>
      </w:pPr>
      <w:r>
        <w:rPr>
          <w:rFonts w:eastAsia="Times New Roman"/>
          <w:b/>
        </w:rPr>
      </w:r>
    </w:p>
    <w:p>
      <w:pPr>
        <w:pStyle w:val="Normal"/>
        <w:widowControl/>
        <w:ind w:right="-1" w:firstLine="709"/>
        <w:rPr>
          <w:rFonts w:eastAsia="Times New Roman"/>
          <w:b/>
          <w:b/>
        </w:rPr>
      </w:pPr>
      <w:r>
        <w:rPr>
          <w:rFonts w:eastAsia="Times New Roman"/>
          <w:b/>
        </w:rPr>
        <w:t>Внутренние системы водоотведения</w:t>
      </w:r>
    </w:p>
    <w:p>
      <w:pPr>
        <w:pStyle w:val="Normal"/>
        <w:ind w:right="-1" w:firstLine="709"/>
        <w:rPr/>
      </w:pPr>
      <w:r>
        <w:rPr/>
        <w:t>Проектом предусмотрены следующие системы</w:t>
      </w:r>
      <w:r>
        <w:rPr>
          <w:vertAlign w:val="superscript"/>
        </w:rPr>
        <w:t>:</w:t>
      </w:r>
    </w:p>
    <w:p>
      <w:pPr>
        <w:pStyle w:val="Normal"/>
        <w:ind w:right="-1" w:firstLine="709"/>
        <w:rPr/>
      </w:pPr>
      <w:r>
        <w:rPr/>
        <w:t>К1- канализация бытовая</w:t>
      </w:r>
    </w:p>
    <w:p>
      <w:pPr>
        <w:pStyle w:val="Normal"/>
        <w:ind w:right="-1" w:firstLine="709"/>
        <w:rPr/>
      </w:pPr>
      <w:r>
        <w:rPr/>
        <w:t>К2 - канализация дождевая,</w:t>
      </w:r>
    </w:p>
    <w:p>
      <w:pPr>
        <w:pStyle w:val="Normal"/>
        <w:ind w:right="-1" w:firstLine="709"/>
        <w:rPr/>
      </w:pPr>
      <w:r>
        <w:rPr/>
        <w:t>К3Н – канализация производственная напорная от насосной станции и ИТП.</w:t>
      </w:r>
    </w:p>
    <w:p>
      <w:pPr>
        <w:pStyle w:val="Normal"/>
        <w:ind w:right="-1" w:firstLine="709"/>
        <w:rPr/>
      </w:pPr>
      <w:r>
        <w:rPr>
          <w:b/>
          <w:i/>
        </w:rPr>
        <w:t>Канализация бытовая К1</w:t>
      </w:r>
      <w:r>
        <w:rPr/>
        <w:t xml:space="preserve"> предусмотрена для отвода бытовых стоков от санитарных приборов секций 1,2,3,4,5 многоэтажного жилого дома в наружные сети бытовой канализации пятью выпусками Ф110мм. </w:t>
      </w:r>
    </w:p>
    <w:p>
      <w:pPr>
        <w:pStyle w:val="Normal"/>
        <w:ind w:right="-1" w:firstLine="709"/>
        <w:rPr/>
      </w:pPr>
      <w:r>
        <w:rPr/>
        <w:t xml:space="preserve">Внутренние сети канализации жилого дома, в основном, прокладываются открыто. На сети бытовой канализации устанавливаются прочистки, которые плотно закрываются заглушками. </w:t>
      </w:r>
    </w:p>
    <w:p>
      <w:pPr>
        <w:pStyle w:val="Normal"/>
        <w:ind w:right="-1" w:firstLine="709"/>
        <w:rPr/>
      </w:pPr>
      <w:r>
        <w:rPr/>
        <w:t>Системы К1 жилого дома предусматриваются из полиэтиленовых канализационных труб Ду 50-110 мм по ГОСТ 22689-89.На стояках бытовой канализации К1 устанавливаются противопожарные муфты со вспучивающим огнезащитным составом, препятствующие распространению пламени по этажам.</w:t>
      </w:r>
    </w:p>
    <w:p>
      <w:pPr>
        <w:pStyle w:val="Normal"/>
        <w:ind w:right="-1" w:firstLine="709"/>
        <w:rPr/>
      </w:pPr>
      <w:r>
        <w:rPr/>
        <w:t>Расчетный расход бытовых стоков составляет – 118,50м3/сут; 10,55м3/ч; 5,79л/с.</w:t>
      </w:r>
    </w:p>
    <w:p>
      <w:pPr>
        <w:pStyle w:val="Normal"/>
        <w:ind w:right="-1" w:firstLine="709"/>
        <w:rPr/>
      </w:pPr>
      <w:r>
        <w:rPr>
          <w:b/>
          <w:i/>
        </w:rPr>
        <w:t>Система производственной напорной канализации К3Н</w:t>
      </w:r>
      <w:r>
        <w:rPr/>
        <w:t xml:space="preserve"> предусматривается для сбора аварийных проливов и опорожнения систем водоснабжения  в помещении насосной станции. Проектом предусмотрена установка насосов марки EBARA серии BEST2M фирмы «АДЛ», производительностью: Q=7,75м3/ч и Q=4,23м3/ч ;  напором Н=5,0м, мощностью N=0,55 кВт, в приямке 600х600х600(h), работающий в автоматическом режиме в зависимости от уровня воды в приямке. Отвод стоков осуществляется в систему бытовой канализации. Трубопроводы производственной напорной канализации К3Н предусматриваются из стальных электросварных труб Д-57х3,5 мм ГОСТ 10704-91*.</w:t>
      </w:r>
    </w:p>
    <w:p>
      <w:pPr>
        <w:pStyle w:val="Normal"/>
        <w:ind w:right="-1" w:firstLine="709"/>
        <w:rPr/>
      </w:pPr>
      <w:r>
        <w:rPr/>
        <w:t xml:space="preserve"> </w:t>
      </w:r>
      <w:r>
        <w:rPr>
          <w:b/>
          <w:i/>
        </w:rPr>
        <w:t>Канализация дождевая К2</w:t>
      </w:r>
      <w:r>
        <w:rPr/>
        <w:t xml:space="preserve"> предусмотрена для отвода дождевых и талых вод с кровли здания. Отвод стоков осуществляется через водосточные воронки Ду100мм марки Вр-9 по внутренним водостокам пятью выпусками Ø108х4,0 в наружную сеть дождевой канализации.</w:t>
      </w:r>
    </w:p>
    <w:p>
      <w:pPr>
        <w:pStyle w:val="Normal"/>
        <w:ind w:right="-1" w:firstLine="709"/>
        <w:rPr/>
      </w:pPr>
      <w:r>
        <w:rPr/>
        <w:t>Сеть дождевой канализации выполняется из стальных электросварных труб Ду108х4,0мм по ГОСТ 10704-91*.</w:t>
      </w:r>
    </w:p>
    <w:p>
      <w:pPr>
        <w:pStyle w:val="Normal"/>
        <w:ind w:right="-1" w:firstLine="709"/>
        <w:rPr/>
      </w:pPr>
      <w:r>
        <w:rPr/>
        <w:t>Расчетный расход дождевых стоков составляет — 12,56 л/с;</w:t>
      </w:r>
    </w:p>
    <w:p>
      <w:pPr>
        <w:pStyle w:val="Normal"/>
        <w:widowControl/>
        <w:spacing w:beforeAutospacing="1" w:after="119"/>
        <w:ind w:right="-1" w:firstLine="709"/>
        <w:rPr>
          <w:b/>
          <w:b/>
        </w:rPr>
      </w:pPr>
      <w:r>
        <w:rPr>
          <w:b/>
        </w:rPr>
        <w:t>2 этап — две 10-ти этажные секции, сблокированные с 17-ти этажной (включая технический чердак) угловой секцией и пристроенное к 17-ти этажной секции 3-х этажное здание с нежилыми помещениями (офисы).</w:t>
      </w:r>
    </w:p>
    <w:p>
      <w:pPr>
        <w:pStyle w:val="Normal"/>
        <w:widowControl/>
        <w:ind w:right="-1" w:firstLine="709"/>
        <w:rPr>
          <w:rFonts w:eastAsia="Times New Roman"/>
          <w:b/>
          <w:b/>
        </w:rPr>
      </w:pPr>
      <w:r>
        <w:rPr>
          <w:rFonts w:eastAsia="Times New Roman"/>
          <w:b/>
        </w:rPr>
        <w:t>Внутренние системы водоотведения</w:t>
      </w:r>
    </w:p>
    <w:p>
      <w:pPr>
        <w:pStyle w:val="Normal"/>
        <w:ind w:right="-1" w:firstLine="709"/>
        <w:rPr/>
      </w:pPr>
      <w:r>
        <w:rPr/>
        <w:t>Подключение санитарно-технических приборов предусматривается к существующим внутриквартальным канализационным сетям.</w:t>
      </w:r>
    </w:p>
    <w:p>
      <w:pPr>
        <w:pStyle w:val="Normal"/>
        <w:ind w:right="-1" w:firstLine="709"/>
        <w:rPr/>
      </w:pPr>
      <w:r>
        <w:rPr/>
        <w:t>Проектом предусмотрены следующие системы:</w:t>
      </w:r>
    </w:p>
    <w:p>
      <w:pPr>
        <w:pStyle w:val="Normal"/>
        <w:ind w:right="-1" w:firstLine="709"/>
        <w:rPr/>
      </w:pPr>
      <w:r>
        <w:rPr/>
        <w:t>К1– канализация бытовая (жилая часть);</w:t>
      </w:r>
    </w:p>
    <w:p>
      <w:pPr>
        <w:pStyle w:val="Normal"/>
        <w:ind w:right="-1" w:firstLine="709"/>
        <w:rPr/>
      </w:pPr>
      <w:r>
        <w:rPr/>
        <w:t xml:space="preserve">К1.1 — канализация бытовая (нежилые помещения (офисы)); </w:t>
      </w:r>
    </w:p>
    <w:p>
      <w:pPr>
        <w:pStyle w:val="Normal"/>
        <w:ind w:right="-1" w:firstLine="709"/>
        <w:rPr/>
      </w:pPr>
      <w:r>
        <w:rPr/>
        <w:t>К2 – канализация дождевая (жилая часть);</w:t>
      </w:r>
    </w:p>
    <w:p>
      <w:pPr>
        <w:pStyle w:val="Normal"/>
        <w:ind w:right="-1" w:firstLine="709"/>
        <w:rPr/>
      </w:pPr>
      <w:r>
        <w:rPr/>
        <w:t>К2.1 – канализация дождевая (нежилые помещения (офисы));</w:t>
      </w:r>
    </w:p>
    <w:p>
      <w:pPr>
        <w:pStyle w:val="Normal"/>
        <w:ind w:right="-1" w:firstLine="709"/>
        <w:rPr/>
      </w:pPr>
      <w:r>
        <w:rPr/>
        <w:t>К3Н – канализация производственная напорная от ИТП и насосной;</w:t>
      </w:r>
    </w:p>
    <w:p>
      <w:pPr>
        <w:pStyle w:val="Normal"/>
        <w:ind w:right="-1" w:firstLine="709"/>
        <w:rPr/>
      </w:pPr>
      <w:r>
        <w:rPr/>
        <w:t>К3Н.1 – канализация производственная напорная от ИТП и насосной (нежилые помещения(офисы)).</w:t>
      </w:r>
    </w:p>
    <w:p>
      <w:pPr>
        <w:pStyle w:val="Normal"/>
        <w:ind w:right="-1" w:firstLine="709"/>
        <w:rPr/>
      </w:pPr>
      <w:r>
        <w:rPr>
          <w:b/>
          <w:i/>
        </w:rPr>
        <w:t>Канализация бытовая К1</w:t>
      </w:r>
      <w:r>
        <w:rPr/>
        <w:t xml:space="preserve"> предусмотрена для отвода бытовых стоков от санитарных приборов секций 6, 7, 8 жилого дома в наружные сети бытовой канализации тремя выпусками Ф110мм. </w:t>
      </w:r>
    </w:p>
    <w:p>
      <w:pPr>
        <w:pStyle w:val="Normal"/>
        <w:ind w:right="-1" w:firstLine="709"/>
        <w:rPr/>
      </w:pPr>
      <w:r>
        <w:rPr/>
        <w:t xml:space="preserve">Внутренние сети канализации жилого дома, в основном, прокладываются открыто. На сети бытовой канализации устанавливаются прочистки, которые плотно закрываются заглушками. </w:t>
      </w:r>
    </w:p>
    <w:p>
      <w:pPr>
        <w:pStyle w:val="Normal"/>
        <w:ind w:right="-1" w:firstLine="709"/>
        <w:rPr/>
      </w:pPr>
      <w:r>
        <w:rPr/>
        <w:t>Системы К1 жилого дома предусматриваются из полиэтиленовых канализационных труб Ду 50-110 мм по ГОСТ 22689-89.На стояках бытовой канализации К1 устанавливаются противопожарные муфты со вспучивающим огнезащитным составом, препятствующие распространению пламени по этажам.</w:t>
      </w:r>
    </w:p>
    <w:p>
      <w:pPr>
        <w:pStyle w:val="Normal"/>
        <w:ind w:right="-1" w:firstLine="709"/>
        <w:rPr/>
      </w:pPr>
      <w:r>
        <w:rPr/>
        <w:t>Расчетный расход бытовых стоков составляет – 105,92м</w:t>
      </w:r>
      <w:r>
        <w:rPr>
          <w:vertAlign w:val="superscript"/>
        </w:rPr>
        <w:t>3</w:t>
      </w:r>
      <w:r>
        <w:rPr/>
        <w:t>/сут; 9,68м</w:t>
      </w:r>
      <w:r>
        <w:rPr>
          <w:vertAlign w:val="superscript"/>
        </w:rPr>
        <w:t>3</w:t>
      </w:r>
      <w:r>
        <w:rPr/>
        <w:t>/ч; 5,49л/с.</w:t>
      </w:r>
    </w:p>
    <w:p>
      <w:pPr>
        <w:pStyle w:val="Normal"/>
        <w:ind w:right="-1" w:firstLine="709"/>
        <w:rPr/>
      </w:pPr>
      <w:r>
        <w:rPr>
          <w:b/>
          <w:i/>
        </w:rPr>
        <w:t>Система бытовой канализации К1.1</w:t>
      </w:r>
      <w:r>
        <w:rPr/>
        <w:t xml:space="preserve"> предусмотрена для отвода бытовых стоков от санитарных приборов 3-х этажного здания с нежилыми помещениями (офисы), в наружную сеть бытовой канализации двумя выпусками Ø110.</w:t>
      </w:r>
    </w:p>
    <w:p>
      <w:pPr>
        <w:pStyle w:val="Normal"/>
        <w:ind w:right="-1" w:firstLine="709"/>
        <w:rPr/>
      </w:pPr>
      <w:r>
        <w:rPr/>
        <w:t>Подвальная разводка, стояки, выпуски системы К1.1 нежилых помещений (офисы) проектируются из полиэтиленовых канализационных труб Ду 50-110 мм по ГОСТ 22689-89.</w:t>
      </w:r>
    </w:p>
    <w:p>
      <w:pPr>
        <w:pStyle w:val="Normal"/>
        <w:ind w:right="-1" w:firstLine="709"/>
        <w:rPr/>
      </w:pPr>
      <w:r>
        <w:rPr/>
        <w:t>Расчетный расход бытовых стоков составляет – 0,8м</w:t>
      </w:r>
      <w:r>
        <w:rPr>
          <w:vertAlign w:val="superscript"/>
        </w:rPr>
        <w:t>3</w:t>
      </w:r>
      <w:r>
        <w:rPr/>
        <w:t>/сут; 0,66м</w:t>
      </w:r>
      <w:r>
        <w:rPr>
          <w:vertAlign w:val="superscript"/>
        </w:rPr>
        <w:t>3</w:t>
      </w:r>
      <w:r>
        <w:rPr/>
        <w:t>/ч; 2,03л/с.</w:t>
      </w:r>
    </w:p>
    <w:p>
      <w:pPr>
        <w:pStyle w:val="Normal"/>
        <w:ind w:right="-1" w:firstLine="709"/>
        <w:rPr/>
      </w:pPr>
      <w:r>
        <w:rPr>
          <w:b/>
          <w:i/>
        </w:rPr>
        <w:t>Система производственной напорной канализации К3Н</w:t>
      </w:r>
      <w:r>
        <w:rPr/>
        <w:t xml:space="preserve"> предусматривается для сбора аварийных проливов и опорожнения систем водоснабжения  в помещении насосной станции. Для сбора аварийных проливов и опорожнения систем водоснабжения предусмотрена установка насосов марки EBARA серии BEST2M фирмы «АДЛ», производительностью Q=8,60м3/ч;  напором Н=5,0м, мощностью N=0,55 кВт, в приямке 600х600х600(h), работающий в автоматическом режиме в зависимости от уровня воды в приямке. </w:t>
      </w:r>
    </w:p>
    <w:p>
      <w:pPr>
        <w:pStyle w:val="Normal"/>
        <w:ind w:right="-1" w:firstLine="709"/>
        <w:rPr/>
      </w:pPr>
      <w:r>
        <w:rPr/>
        <w:t xml:space="preserve">Отвод стоков осуществляется в систему бытовой канализации. Трубопроводы производственной напорной канализации К3Н предусматриваются из стальных электросварных труб Д-57х3,5 мм ГОСТ 10704-91*. </w:t>
      </w:r>
    </w:p>
    <w:p>
      <w:pPr>
        <w:pStyle w:val="Normal"/>
        <w:ind w:right="-1" w:firstLine="709"/>
        <w:rPr/>
      </w:pPr>
      <w:r>
        <w:rPr>
          <w:b/>
          <w:i/>
        </w:rPr>
        <w:t>Система производственной напорной канализации К3Н.1</w:t>
      </w:r>
      <w:r>
        <w:rPr/>
        <w:t xml:space="preserve"> Для сбора аварийных проливов и опорожнения систем водоснабжения и отопления нежилых помещений (офисы) в помещении ИТП и насосной станции предусматриваются дренажные приямки с погружными насосами EBARA серии BEST2M фирмы «АДЛ», производительностью, Q=4,25м3/ч; напором Н=5,0м, мощностью N=0,55 кВт, в приямках 600х600х600(h), работающих в автоматическом режиме в зависимости от уровня воды в приямках. </w:t>
      </w:r>
    </w:p>
    <w:p>
      <w:pPr>
        <w:pStyle w:val="Normal"/>
        <w:ind w:right="-1" w:firstLine="709"/>
        <w:rPr/>
      </w:pPr>
      <w:r>
        <w:rPr/>
        <w:t xml:space="preserve">Отвод стоков осуществляется в систему бытовой канализации. Трубопроводы производственной напорной канализации К3Н.1 предусматриваются из стальных электросварных труб Ду 57х3,0 ГОСТ 10704-91*. </w:t>
      </w:r>
    </w:p>
    <w:p>
      <w:pPr>
        <w:pStyle w:val="Normal"/>
        <w:ind w:right="-1" w:firstLine="709"/>
        <w:rPr/>
      </w:pPr>
      <w:r>
        <w:rPr/>
      </w:r>
    </w:p>
    <w:p>
      <w:pPr>
        <w:pStyle w:val="Normal"/>
        <w:ind w:right="-1" w:firstLine="709"/>
        <w:rPr/>
      </w:pPr>
      <w:r>
        <w:rPr/>
        <w:t xml:space="preserve"> </w:t>
      </w:r>
      <w:r>
        <w:rPr>
          <w:b/>
          <w:i/>
        </w:rPr>
        <w:t>Канализация дождевая К2</w:t>
      </w:r>
      <w:r>
        <w:rPr/>
        <w:t xml:space="preserve"> предусмотрена для отвода дождевых и талых вод с кровли здания. Отвод стоков осуществляется через водосточные воронки Ду100мм марки Вр-9 по внутренним водостокам тремя выпусками Ø110 в наружную сеть дождевой канализации.</w:t>
      </w:r>
    </w:p>
    <w:p>
      <w:pPr>
        <w:pStyle w:val="Normal"/>
        <w:ind w:right="-1" w:firstLine="709"/>
        <w:rPr/>
      </w:pPr>
      <w:r>
        <w:rPr/>
        <w:t>Сеть дождевой канализации выполняется из стальных электросварных труб Ду108х4,0мм по ГОСТ 10704-91*.</w:t>
      </w:r>
    </w:p>
    <w:p>
      <w:pPr>
        <w:pStyle w:val="Normal"/>
        <w:ind w:right="-1" w:firstLine="709"/>
        <w:rPr/>
      </w:pPr>
      <w:r>
        <w:rPr>
          <w:b/>
          <w:i/>
        </w:rPr>
        <w:t>Канализация дождевая К2.1</w:t>
      </w:r>
      <w:r>
        <w:rPr/>
        <w:t xml:space="preserve"> предусмотрена для отвода дождевых и талых вод с кровли здания нежилых помещений (офисы). Отвод стоков осуществляется через водосточные воронки Ду100мм марки Вр-9 по внутренним водостокам двумя выпусками Ø110 в наружную сеть дождевой канализации. </w:t>
      </w:r>
    </w:p>
    <w:p>
      <w:pPr>
        <w:pStyle w:val="Normal"/>
        <w:ind w:right="-1" w:firstLine="709"/>
        <w:rPr/>
      </w:pPr>
      <w:r>
        <w:rPr/>
        <w:t>Сеть дождевой канализации К2.1 выполняется из стальных электросварных труб Ду108х4,0мм по ГОСТ 10704-91*.</w:t>
      </w:r>
    </w:p>
    <w:p>
      <w:pPr>
        <w:pStyle w:val="Normal"/>
        <w:ind w:right="-1" w:firstLine="709"/>
        <w:rPr/>
      </w:pPr>
      <w:r>
        <w:rPr/>
        <w:t>Расчетный расход дождевых стоков составляет:</w:t>
      </w:r>
    </w:p>
    <w:p>
      <w:pPr>
        <w:pStyle w:val="Normal"/>
        <w:tabs>
          <w:tab w:val="left" w:pos="720" w:leader="none"/>
        </w:tabs>
        <w:ind w:right="-1" w:firstLine="709"/>
        <w:rPr/>
      </w:pPr>
      <w:r>
        <w:rPr/>
        <w:t>для жилого дома — 9,39 л/с;</w:t>
      </w:r>
    </w:p>
    <w:p>
      <w:pPr>
        <w:pStyle w:val="Normal"/>
        <w:tabs>
          <w:tab w:val="left" w:pos="720" w:leader="none"/>
        </w:tabs>
        <w:ind w:right="-1" w:firstLine="709"/>
        <w:rPr/>
      </w:pPr>
      <w:r>
        <w:rPr/>
        <w:t>для нежилых помещений (офисы) — 4,21 л/с;</w:t>
      </w:r>
    </w:p>
    <w:p>
      <w:pPr>
        <w:pStyle w:val="Normal"/>
        <w:tabs>
          <w:tab w:val="left" w:pos="671" w:leader="none"/>
        </w:tabs>
        <w:spacing w:lineRule="exact" w:line="271"/>
        <w:ind w:right="-1" w:firstLine="709"/>
        <w:rPr>
          <w:color w:val="000000" w:themeColor="text1"/>
        </w:rPr>
      </w:pPr>
      <w:r>
        <w:rPr>
          <w:color w:val="000000" w:themeColor="text1"/>
        </w:rPr>
      </w:r>
    </w:p>
    <w:p>
      <w:pPr>
        <w:pStyle w:val="Normal"/>
        <w:widowControl/>
        <w:ind w:right="-1" w:firstLine="709"/>
        <w:rPr>
          <w:rFonts w:eastAsia="Times New Roman"/>
          <w:b/>
          <w:b/>
          <w:color w:val="000000" w:themeColor="text1"/>
          <w:highlight w:val="yellow"/>
        </w:rPr>
      </w:pPr>
      <w:r>
        <w:rPr>
          <w:rFonts w:eastAsia="Times New Roman"/>
          <w:b/>
          <w:color w:val="000000" w:themeColor="text1"/>
          <w:highlight w:val="yellow"/>
        </w:rPr>
      </w:r>
    </w:p>
    <w:p>
      <w:pPr>
        <w:pStyle w:val="Normal"/>
        <w:widowControl/>
        <w:ind w:right="-1" w:hanging="0"/>
        <w:rPr>
          <w:rFonts w:eastAsia="Times New Roman"/>
          <w:b/>
          <w:b/>
          <w:color w:val="000000" w:themeColor="text1"/>
          <w:highlight w:val="yellow"/>
        </w:rPr>
      </w:pPr>
      <w:r>
        <w:rPr>
          <w:rFonts w:eastAsia="Times New Roman"/>
          <w:b/>
          <w:color w:val="000000" w:themeColor="text1"/>
        </w:rPr>
        <w:t>3.2.4.4. Отопление, вентиляция и кондиционирование воздуха, тепловые сети</w:t>
      </w:r>
    </w:p>
    <w:p>
      <w:pPr>
        <w:pStyle w:val="Normal"/>
        <w:ind w:right="-1" w:firstLine="709"/>
        <w:rPr>
          <w:b/>
          <w:b/>
          <w:color w:val="000000" w:themeColor="text1"/>
          <w:highlight w:val="yellow"/>
        </w:rPr>
      </w:pPr>
      <w:r>
        <w:rPr>
          <w:b/>
          <w:color w:val="000000" w:themeColor="text1"/>
          <w:highlight w:val="yellow"/>
        </w:rPr>
      </w:r>
    </w:p>
    <w:p>
      <w:pPr>
        <w:pStyle w:val="Normal"/>
        <w:ind w:right="-1" w:firstLine="709"/>
        <w:rPr/>
      </w:pPr>
      <w:r>
        <w:rPr/>
        <w:t>Теплоснабжение проектируемого многоквартирного многоэтажного жилого дома со встроенными помещениями делового, культурного и обслуживающего назначения по ул. Юбилейной в Автозаводском районе г. Тольятти 1, 2 этапы строительства предусмотрено от КТС-38 на существующей тепловой сети ОАО «ТЕВИС» согласно ТУ № 5163 от 10 июня 2016 г.</w:t>
      </w:r>
    </w:p>
    <w:p>
      <w:pPr>
        <w:pStyle w:val="Normal"/>
        <w:ind w:right="-1" w:firstLine="709"/>
        <w:rPr/>
      </w:pPr>
      <w:r>
        <w:rPr/>
        <w:t>Тепловые сети выполняются отдельным проектом и на экспертизу не представлены.</w:t>
      </w:r>
    </w:p>
    <w:p>
      <w:pPr>
        <w:pStyle w:val="Normal"/>
        <w:suppressAutoHyphens w:val="true"/>
        <w:ind w:right="-1" w:firstLine="709"/>
        <w:textAlignment w:val="baseline"/>
        <w:rPr>
          <w:rFonts w:ascii="Arial" w:hAnsi="Arial" w:eastAsia="Lucida Sans Unicode" w:cs="Tahoma"/>
          <w:lang w:bidi="ru-RU"/>
        </w:rPr>
      </w:pPr>
      <w:r>
        <w:rPr>
          <w:b/>
        </w:rPr>
        <w:t>1 этап строительства.</w:t>
      </w:r>
    </w:p>
    <w:p>
      <w:pPr>
        <w:pStyle w:val="Normal"/>
        <w:ind w:right="-1" w:firstLine="709"/>
        <w:rPr/>
      </w:pPr>
      <w:r>
        <mc:AlternateContent>
          <mc:Choice Requires="wps">
            <w:drawing>
              <wp:anchor behindDoc="1" distT="0" distB="0" distL="114300" distR="114300" simplePos="0" locked="0" layoutInCell="1" allowOverlap="1" relativeHeight="2">
                <wp:simplePos x="0" y="0"/>
                <wp:positionH relativeFrom="page">
                  <wp:posOffset>6115050</wp:posOffset>
                </wp:positionH>
                <wp:positionV relativeFrom="margin">
                  <wp:align>top</wp:align>
                </wp:positionV>
                <wp:extent cx="527050" cy="525145"/>
                <wp:effectExtent l="0" t="0" r="0" b="0"/>
                <wp:wrapNone/>
                <wp:docPr id="3" name="Врезка20"/>
                <a:graphic xmlns:a="http://schemas.openxmlformats.org/drawingml/2006/main">
                  <a:graphicData uri="http://schemas.microsoft.com/office/word/2010/wordprocessingShape">
                    <wps:wsp>
                      <wps:cNvSpPr/>
                      <wps:spPr>
                        <a:xfrm>
                          <a:off x="0" y="0"/>
                          <a:ext cx="526320" cy="524520"/>
                        </a:xfrm>
                        <a:prstGeom prst="rect">
                          <a:avLst/>
                        </a:prstGeom>
                        <a:noFill/>
                        <a:ln>
                          <a:noFill/>
                        </a:ln>
                      </wps:spPr>
                      <wps:style>
                        <a:lnRef idx="0"/>
                        <a:fillRef idx="0"/>
                        <a:effectRef idx="0"/>
                        <a:fontRef idx="minor"/>
                      </wps:style>
                      <wps:txbx>
                        <w:txbxContent>
                          <w:tbl>
                            <w:tblPr>
                              <w:tblW w:w="540" w:type="dxa"/>
                              <w:jc w:val="left"/>
                              <w:tblInd w:w="0" w:type="dxa"/>
                              <w:tblBorders/>
                              <w:tblCellMar>
                                <w:top w:w="0" w:type="dxa"/>
                                <w:left w:w="10" w:type="dxa"/>
                                <w:bottom w:w="0" w:type="dxa"/>
                                <w:right w:w="10" w:type="dxa"/>
                              </w:tblCellMar>
                              <w:tblLook w:firstRow="0" w:noVBand="0" w:lastRow="0" w:firstColumn="0" w:lastColumn="0" w:noHBand="0" w:val="0000"/>
                            </w:tblPr>
                            <w:tblGrid>
                              <w:gridCol w:w="540"/>
                            </w:tblGrid>
                            <w:tr>
                              <w:trPr>
                                <w:trHeight w:val="420" w:hRule="atLeast"/>
                              </w:trPr>
                              <w:tc>
                                <w:tcPr>
                                  <w:tcW w:w="540" w:type="dxa"/>
                                  <w:tcBorders/>
                                  <w:shd w:color="auto" w:fill="FFFFFF" w:val="clear"/>
                                  <w:vAlign w:val="center"/>
                                </w:tcPr>
                                <w:tbl>
                                  <w:tblPr>
                                    <w:tblW w:w="5000" w:type="pct"/>
                                    <w:jc w:val="left"/>
                                    <w:tblInd w:w="10" w:type="dxa"/>
                                    <w:tblBorders/>
                                    <w:tblCellMar>
                                      <w:top w:w="0" w:type="dxa"/>
                                      <w:left w:w="10" w:type="dxa"/>
                                      <w:bottom w:w="0" w:type="dxa"/>
                                      <w:right w:w="10" w:type="dxa"/>
                                    </w:tblCellMar>
                                    <w:tblLook w:firstRow="0" w:noVBand="0" w:lastRow="0" w:firstColumn="0" w:lastColumn="0" w:noHBand="0" w:val="0000"/>
                                  </w:tblPr>
                                  <w:tblGrid>
                                    <w:gridCol w:w="520"/>
                                  </w:tblGrid>
                                  <w:tr>
                                    <w:trPr/>
                                    <w:tc>
                                      <w:tcPr>
                                        <w:tcW w:w="520" w:type="dxa"/>
                                        <w:tcBorders/>
                                        <w:shd w:fill="auto" w:val="clear"/>
                                        <w:vAlign w:val="center"/>
                                      </w:tcPr>
                                      <w:p>
                                        <w:pPr>
                                          <w:pStyle w:val="Style45"/>
                                          <w:jc w:val="center"/>
                                          <w:rPr>
                                            <w:rFonts w:ascii="Arial Narrow" w:hAnsi="Arial Narrow"/>
                                          </w:rPr>
                                        </w:pPr>
                                        <w:r>
                                          <w:rPr>
                                            <w:rFonts w:ascii="Arial Narrow" w:hAnsi="Arial Narrow"/>
                                          </w:rPr>
                                          <w:t xml:space="preserve"> </w:t>
                                        </w:r>
                                      </w:p>
                                    </w:tc>
                                  </w:tr>
                                </w:tbl>
                                <w:p>
                                  <w:pPr>
                                    <w:pStyle w:val="Style45"/>
                                    <w:rPr/>
                                  </w:pPr>
                                  <w:r>
                                    <w:rPr/>
                                    <w:t> </w:t>
                                  </w:r>
                                </w:p>
                              </w:tc>
                            </w:tr>
                          </w:tbl>
                          <w:p>
                            <w:pPr>
                              <w:pStyle w:val="Style50"/>
                              <w:rPr>
                                <w:color w:val="auto"/>
                              </w:rPr>
                            </w:pPr>
                            <w:r>
                              <w:rPr>
                                <w:color w:val="auto"/>
                              </w:rPr>
                            </w:r>
                          </w:p>
                        </w:txbxContent>
                      </wps:txbx>
                      <wps:bodyPr lIns="0" rIns="0" tIns="0" bIns="0">
                        <a:spAutoFit/>
                      </wps:bodyPr>
                    </wps:wsp>
                  </a:graphicData>
                </a:graphic>
              </wp:anchor>
            </w:drawing>
          </mc:Choice>
          <mc:Fallback>
            <w:pict>
              <v:rect id="shape_0" ID="Врезка20" stroked="f" style="position:absolute;margin-left:481.5pt;margin-top:0pt;width:41.4pt;height:41.25pt;mso-position-horizontal-relative:page;mso-position-vertical:top;mso-position-vertical-relative:margin">
                <w10:wrap type="none"/>
                <v:fill o:detectmouseclick="t" on="false"/>
                <v:stroke color="#3465a4" joinstyle="round" endcap="flat"/>
                <v:textbox>
                  <w:txbxContent>
                    <w:tbl>
                      <w:tblPr>
                        <w:tblW w:w="540" w:type="dxa"/>
                        <w:jc w:val="left"/>
                        <w:tblInd w:w="0" w:type="dxa"/>
                        <w:tblBorders/>
                        <w:tblCellMar>
                          <w:top w:w="0" w:type="dxa"/>
                          <w:left w:w="10" w:type="dxa"/>
                          <w:bottom w:w="0" w:type="dxa"/>
                          <w:right w:w="10" w:type="dxa"/>
                        </w:tblCellMar>
                        <w:tblLook w:firstRow="0" w:noVBand="0" w:lastRow="0" w:firstColumn="0" w:lastColumn="0" w:noHBand="0" w:val="0000"/>
                      </w:tblPr>
                      <w:tblGrid>
                        <w:gridCol w:w="540"/>
                      </w:tblGrid>
                      <w:tr>
                        <w:trPr>
                          <w:trHeight w:val="420" w:hRule="atLeast"/>
                        </w:trPr>
                        <w:tc>
                          <w:tcPr>
                            <w:tcW w:w="540" w:type="dxa"/>
                            <w:tcBorders/>
                            <w:shd w:color="auto" w:fill="FFFFFF" w:val="clear"/>
                            <w:vAlign w:val="center"/>
                          </w:tcPr>
                          <w:tbl>
                            <w:tblPr>
                              <w:tblW w:w="5000" w:type="pct"/>
                              <w:jc w:val="left"/>
                              <w:tblInd w:w="10" w:type="dxa"/>
                              <w:tblBorders/>
                              <w:tblCellMar>
                                <w:top w:w="0" w:type="dxa"/>
                                <w:left w:w="10" w:type="dxa"/>
                                <w:bottom w:w="0" w:type="dxa"/>
                                <w:right w:w="10" w:type="dxa"/>
                              </w:tblCellMar>
                              <w:tblLook w:firstRow="0" w:noVBand="0" w:lastRow="0" w:firstColumn="0" w:lastColumn="0" w:noHBand="0" w:val="0000"/>
                            </w:tblPr>
                            <w:tblGrid>
                              <w:gridCol w:w="520"/>
                            </w:tblGrid>
                            <w:tr>
                              <w:trPr/>
                              <w:tc>
                                <w:tcPr>
                                  <w:tcW w:w="520" w:type="dxa"/>
                                  <w:tcBorders/>
                                  <w:shd w:fill="auto" w:val="clear"/>
                                  <w:vAlign w:val="center"/>
                                </w:tcPr>
                                <w:p>
                                  <w:pPr>
                                    <w:pStyle w:val="Style45"/>
                                    <w:jc w:val="center"/>
                                    <w:rPr>
                                      <w:rFonts w:ascii="Arial Narrow" w:hAnsi="Arial Narrow"/>
                                    </w:rPr>
                                  </w:pPr>
                                  <w:r>
                                    <w:rPr>
                                      <w:rFonts w:ascii="Arial Narrow" w:hAnsi="Arial Narrow"/>
                                    </w:rPr>
                                    <w:t xml:space="preserve"> </w:t>
                                  </w:r>
                                </w:p>
                              </w:tc>
                            </w:tr>
                          </w:tbl>
                          <w:p>
                            <w:pPr>
                              <w:pStyle w:val="Style45"/>
                              <w:rPr/>
                            </w:pPr>
                            <w:r>
                              <w:rPr/>
                              <w:t> </w:t>
                            </w:r>
                          </w:p>
                        </w:tc>
                      </w:tr>
                    </w:tbl>
                    <w:p>
                      <w:pPr>
                        <w:pStyle w:val="Style50"/>
                        <w:rPr>
                          <w:color w:val="auto"/>
                        </w:rPr>
                      </w:pPr>
                      <w:r>
                        <w:rPr>
                          <w:color w:val="auto"/>
                        </w:rPr>
                      </w:r>
                    </w:p>
                  </w:txbxContent>
                </v:textbox>
              </v:rect>
            </w:pict>
          </mc:Fallback>
        </mc:AlternateContent>
      </w:r>
      <w:r>
        <w:rPr>
          <w:b/>
          <w:color w:val="000000"/>
          <w:u w:val="single"/>
          <w:lang w:eastAsia="en-US"/>
        </w:rPr>
        <w:t>Индивидуальный тепловой пункт.</w:t>
      </w:r>
      <w:r>
        <w:rPr>
          <w:color w:val="000000"/>
          <w:lang w:eastAsia="en-US"/>
        </w:rPr>
        <w:t xml:space="preserve"> </w:t>
      </w:r>
      <w:r>
        <w:rPr/>
        <w:t>Подключение к наружным тепловым сетям выполнено через индивидуальный тепловой пункт. В качестве теплоносителя используется теплофикационная вода с расчётным перепадом температур 150-70ºС. Давление на вводе в здание:</w:t>
      </w:r>
    </w:p>
    <w:p>
      <w:pPr>
        <w:pStyle w:val="Normal"/>
        <w:ind w:right="-1" w:firstLine="709"/>
        <w:rPr/>
      </w:pPr>
      <w:r>
        <w:rPr/>
        <w:t>Р1=6,6 кгс/см</w:t>
      </w:r>
      <w:r>
        <w:rPr>
          <w:vertAlign w:val="superscript"/>
        </w:rPr>
        <w:t>2</w:t>
      </w:r>
      <w:r>
        <w:rPr/>
        <w:t xml:space="preserve"> - в подающем трубопроводе;</w:t>
      </w:r>
    </w:p>
    <w:p>
      <w:pPr>
        <w:pStyle w:val="Normal"/>
        <w:ind w:right="-1" w:firstLine="709"/>
        <w:rPr/>
      </w:pPr>
      <w:r>
        <w:rPr/>
        <w:t>Р2=5,7кгс/см</w:t>
      </w:r>
      <w:r>
        <w:rPr>
          <w:vertAlign w:val="superscript"/>
        </w:rPr>
        <w:t>2</w:t>
      </w:r>
      <w:r>
        <w:rPr/>
        <w:t xml:space="preserve"> - в обратном трубопроводе.</w:t>
      </w:r>
    </w:p>
    <w:p>
      <w:pPr>
        <w:pStyle w:val="Normal"/>
        <w:ind w:right="-1" w:firstLine="709"/>
        <w:rPr/>
      </w:pPr>
      <w:r>
        <w:rPr/>
        <w:t>ИТП жилого дома предусмотрен для защиты местных систем от аварийного повышения параметров теплоносителя, обеспечения заданного температурного графика в системах отопления, приготовления воды для систем горячего водоснабжения, учета потребляемой тепловой энергии.</w:t>
      </w:r>
    </w:p>
    <w:p>
      <w:pPr>
        <w:pStyle w:val="Normal"/>
        <w:ind w:right="-1" w:firstLine="709"/>
        <w:rPr/>
      </w:pPr>
      <w:r>
        <w:rPr/>
        <w:t>ИТП жилого дома расположен в помещении в осях 5с-9с, Ас-Гс (секция 4) на отметке -2,500 (расстояние до выхода наружу-8,5м).</w:t>
      </w:r>
    </w:p>
    <w:p>
      <w:pPr>
        <w:pStyle w:val="Normal"/>
        <w:ind w:right="-1" w:firstLine="709"/>
        <w:rPr/>
      </w:pPr>
      <w:r>
        <w:rPr/>
        <w:t xml:space="preserve">Учёт тепловой энергии осуществляется посредством преобразователей расхода ЭМИР-ПРАМЕР и тепловычислителя ТВ-7-04.    </w:t>
      </w:r>
    </w:p>
    <w:p>
      <w:pPr>
        <w:pStyle w:val="Normal"/>
        <w:ind w:right="-1" w:firstLine="709"/>
        <w:rPr/>
      </w:pPr>
      <w:r>
        <w:rPr/>
        <w:t>Для защиты местных систем от аварийного повышения параметров теплоносителя предусматривается установка регулятора давления.</w:t>
      </w:r>
    </w:p>
    <w:p>
      <w:pPr>
        <w:pStyle w:val="Normal"/>
        <w:ind w:right="-1" w:firstLine="709"/>
        <w:rPr/>
      </w:pPr>
      <w:r>
        <w:rPr/>
        <w:t>Подключение систем отопления к тепловым сетям выполнено по зависимой схеме, циркуляция осуществляется с помощью насосов MAGNA1 65-150F (1-рабочий,1-резервный) с частотно-регулируемым приводом, фирмы «GRUNDFOS».</w:t>
      </w:r>
    </w:p>
    <w:p>
      <w:pPr>
        <w:pStyle w:val="Normal"/>
        <w:ind w:right="-1" w:firstLine="709"/>
        <w:rPr/>
      </w:pPr>
      <w:r>
        <w:rPr/>
        <w:t>Параметры теплоносителя в системах отопления- 95-70ºС.</w:t>
      </w:r>
    </w:p>
    <w:p>
      <w:pPr>
        <w:pStyle w:val="Normal"/>
        <w:ind w:right="-1" w:firstLine="709"/>
        <w:rPr/>
      </w:pPr>
      <w:r>
        <w:rPr/>
        <w:t xml:space="preserve">Поддержание температурного графика в системах отопления жилого дома выполняет регулирующий клапан VВ2, управляемый контроллером фирмы «DANFOSS», обеспечивающий изменение температуры воды в зависимости от температуры наружного воздуха.   </w:t>
      </w:r>
    </w:p>
    <w:p>
      <w:pPr>
        <w:pStyle w:val="Normal"/>
        <w:ind w:right="-1" w:firstLine="709"/>
        <w:rPr/>
      </w:pPr>
      <w:r>
        <w:rPr/>
        <w:t>Cистема горячего водоснабжения присоединена к тепловой сети по закрытой двухступенчатой смешанной схеме, через пластинчатый теплообменник ЭТ-019см-16-58 (моноблок), фирмы «ЭТРА».</w:t>
      </w:r>
    </w:p>
    <w:p>
      <w:pPr>
        <w:pStyle w:val="Normal"/>
        <w:ind w:right="-1" w:firstLine="709"/>
        <w:rPr/>
      </w:pPr>
      <w:r>
        <w:rPr/>
        <w:t>Поддержание температурного графика в системе ГВС выполняет регулирующий клапан VВ2, управляемый контроллером фирмы «DANFOSS». Температура воды в системе горячего водоснабжения  поддерживается 65ºС.</w:t>
      </w:r>
    </w:p>
    <w:p>
      <w:pPr>
        <w:pStyle w:val="Normal"/>
        <w:ind w:right="-1" w:firstLine="709"/>
        <w:rPr/>
      </w:pPr>
      <w:r>
        <w:rPr/>
        <w:t xml:space="preserve">Для обеспечения циркуляции в системе горячего водоснабжения предусмотрена установка насосов CR 3-7 (1-рабочий,1-резервный хранится на складе) фирмы «GRUNDFOS». </w:t>
      </w:r>
    </w:p>
    <w:p>
      <w:pPr>
        <w:pStyle w:val="Normal"/>
        <w:ind w:right="-1" w:firstLine="709"/>
        <w:rPr/>
      </w:pPr>
      <w:r>
        <w:rPr/>
        <w:t>В нижних точках системы теплоснабжения предусмотрены спускники (запорная арматура Ду 25), в верхних- воздушники (запорная арматура Ду 15) .</w:t>
      </w:r>
    </w:p>
    <w:p>
      <w:pPr>
        <w:pStyle w:val="Normal"/>
        <w:ind w:right="-1" w:firstLine="709"/>
        <w:rPr/>
      </w:pPr>
      <w:r>
        <w:rPr/>
        <w:t>Опорожнение трубопроводов и оборудования осуществляется самотеком  с разрывом струи в дренажный приямок, с последующей откачкой воды в систему канализации.</w:t>
      </w:r>
    </w:p>
    <w:p>
      <w:pPr>
        <w:pStyle w:val="Normal"/>
        <w:ind w:right="-1" w:firstLine="709"/>
        <w:rPr/>
      </w:pPr>
      <w:r>
        <w:rPr/>
        <w:t>В составе ИТП также предусмотрены сетчатые фильтры, предохранительная, запорная и регулирующая арматура, контрольно-измерительные приборы по температуре и давлению.</w:t>
      </w:r>
    </w:p>
    <w:p>
      <w:pPr>
        <w:pStyle w:val="Normal"/>
        <w:ind w:right="-1" w:firstLine="709"/>
        <w:rPr/>
      </w:pPr>
      <w:r>
        <w:rPr/>
        <w:t>Трубопроводы сетевой воды предусмотрены из стальных бесшовных горячекатанных труб по ГОСТ 8732-78 гр. В ст.3сп5., трубопроводы горячего водоснабжения - из стальных водогазопроводных оцинкованных труб по ГОСТ 3262-75*.</w:t>
      </w:r>
    </w:p>
    <w:p>
      <w:pPr>
        <w:pStyle w:val="Normal"/>
        <w:ind w:right="-1" w:firstLine="709"/>
        <w:rPr/>
      </w:pPr>
      <w:r>
        <w:rPr/>
        <w:t xml:space="preserve"> </w:t>
      </w:r>
      <w:r>
        <w:rPr/>
        <w:t>Антикоррозийное покрытие - краской БТ-177 в два слоя по грунтовке ГФ-021. Тепловая изоляция трубопроводов предусмотрена матами из стекловолокна «URSA» марки М-15 с покровным слоем из ленты из алюминия и алюминиевых сплавов.</w:t>
      </w:r>
    </w:p>
    <w:p>
      <w:pPr>
        <w:pStyle w:val="Normal"/>
        <w:ind w:right="-1" w:firstLine="709"/>
        <w:rPr/>
      </w:pPr>
      <w:r>
        <w:rPr/>
        <w:t>Арматура изолируется футлярами из оцинкованной стали, заполненными минватой.</w:t>
      </w:r>
    </w:p>
    <w:p>
      <w:pPr>
        <w:pStyle w:val="Normal"/>
        <w:ind w:right="-1" w:firstLine="709"/>
        <w:rPr/>
      </w:pPr>
      <w:r>
        <w:rPr>
          <w:b/>
          <w:color w:val="000000"/>
          <w:u w:val="single"/>
          <w:lang w:eastAsia="en-US"/>
        </w:rPr>
        <w:t xml:space="preserve">Отопление. </w:t>
      </w:r>
      <w:r>
        <w:rPr/>
        <w:t>Система отопления для секций 1-5 запроектирована однотрубная вертикальная со смещенным замыкающим участком с нижней разводкой подающей магистрали и П-образными стояками.</w:t>
      </w:r>
    </w:p>
    <w:p>
      <w:pPr>
        <w:pStyle w:val="Normal"/>
        <w:ind w:right="-1" w:firstLine="709"/>
        <w:rPr/>
      </w:pPr>
      <w:r>
        <w:rPr/>
        <w:t>Теплопроизводительность системы отопления определена в соответствии с СП 60.13330.2012 п.6.2.2. При определении мощности отопительных приборов были учтены дополнительные нагрузки на нагрев приточного воздуха.</w:t>
      </w:r>
    </w:p>
    <w:p>
      <w:pPr>
        <w:pStyle w:val="Normal"/>
        <w:ind w:right="-1" w:firstLine="709"/>
        <w:rPr/>
      </w:pPr>
      <w:r>
        <w:rPr/>
        <w:t>В качестве отопительных приборов для жилых помещений, лестничных клеток приняты стальные конвекторы «Универсал ТБ» и «Универсал ТБ Мини» фирмы «Сантехпром» с автоматическими терморегуляторами. Для отопления кладовых уборочного инвентаря, машинных помещений используются регистры из гладких труб. Трубопроводы в машинных помещениях предусмотрены без разъемных соединений с выносом арматуры за пределы помещений. На лестничных клетках приборы (кроме 1 этажа) устанавливаются на отм. низа +2,200 от уровня чистого пола.</w:t>
      </w:r>
    </w:p>
    <w:p>
      <w:pPr>
        <w:pStyle w:val="Normal"/>
        <w:ind w:right="-1" w:firstLine="709"/>
        <w:rPr/>
      </w:pPr>
      <w:r>
        <w:rPr/>
        <w:t>Отопительные приборы устанавливаются у наружных ограждений и под световыми проемами. Длина отопительных приборов составляет не менее 50% длины оконного проема.</w:t>
      </w:r>
    </w:p>
    <w:p>
      <w:pPr>
        <w:pStyle w:val="Normal"/>
        <w:ind w:right="-1" w:firstLine="709"/>
        <w:rPr/>
      </w:pPr>
      <w:r>
        <w:rPr/>
        <w:t>Поквартирный учет тепла осуществляется с помощью индивидуальных счетчиков-распределителей Danfoss INDIV-5.</w:t>
      </w:r>
    </w:p>
    <w:p>
      <w:pPr>
        <w:pStyle w:val="Normal"/>
        <w:ind w:right="-1" w:firstLine="709"/>
        <w:rPr/>
      </w:pPr>
      <w:r>
        <w:rPr/>
        <w:t>Регулирование системы отопления в секциях 1-5 обеспечивается установкой на вертикальных стояках ручных балансировочных клапанов MSV-BD.</w:t>
      </w:r>
    </w:p>
    <w:p>
      <w:pPr>
        <w:pStyle w:val="Normal"/>
        <w:ind w:right="-1" w:firstLine="709"/>
        <w:rPr/>
      </w:pPr>
      <w:r>
        <w:rPr/>
        <w:t>В качестве запорной арматуры приняты шаровые краны.</w:t>
      </w:r>
    </w:p>
    <w:p>
      <w:pPr>
        <w:pStyle w:val="Normal"/>
        <w:ind w:right="-1" w:firstLine="709"/>
        <w:rPr/>
      </w:pPr>
      <w:r>
        <w:rPr/>
        <w:t xml:space="preserve">Спуск воды из системы отопления запроектирован в дренажный приямок в ИТП. </w:t>
      </w:r>
    </w:p>
    <w:p>
      <w:pPr>
        <w:pStyle w:val="Normal"/>
        <w:ind w:right="-1" w:firstLine="709"/>
        <w:rPr/>
      </w:pPr>
      <w:r>
        <w:rPr/>
        <w:t>Выпуск воздуха из проектируемых систем отопления осуществляется через верхние точки систем с помощью кранов Маевского.</w:t>
      </w:r>
    </w:p>
    <w:p>
      <w:pPr>
        <w:pStyle w:val="Normal"/>
        <w:ind w:right="-1" w:firstLine="709"/>
        <w:rPr/>
      </w:pPr>
      <w:r>
        <w:rPr/>
        <w:t>Для компенсации линейных тепловых удлинений предусмотрена установка сильфонных компенсаторов на вертикальных стояках.</w:t>
      </w:r>
    </w:p>
    <w:p>
      <w:pPr>
        <w:pStyle w:val="Normal"/>
        <w:ind w:right="-1" w:firstLine="709"/>
        <w:rPr/>
      </w:pPr>
      <w:r>
        <w:rPr/>
        <w:t>Трубопроводы прокладываются с уклоном не менее 0,002.</w:t>
      </w:r>
    </w:p>
    <w:p>
      <w:pPr>
        <w:pStyle w:val="Normal"/>
        <w:ind w:right="-1" w:firstLine="709"/>
        <w:rPr/>
      </w:pPr>
      <w:r>
        <w:rPr/>
        <w:t>Транзитные трубопроводы, прокладываемые через помещения электрощитовых, предусмотрены без разъемных соединений в защитном кожухе.</w:t>
      </w:r>
    </w:p>
    <w:p>
      <w:pPr>
        <w:pStyle w:val="Normal"/>
        <w:ind w:right="-1" w:firstLine="709"/>
        <w:rPr/>
      </w:pPr>
      <w:r>
        <w:rPr/>
        <w:t>Трубопроводы системы отопления выполнены из стальных водогазопроводных обыкновенных труб (диаметр &lt;=50мм) по ГОСТ 3262 -75* и из электросварных труб (диаметр &gt;50 мм) по ГОСТ 10704-91. Изоляция трубопроводов диаметром &lt;=50мм предусмотрена трубками K-Flex б=13мм, трубопроводов диаметром &gt;50мм трубками K-Flex б=19мм. Примененная в проекте изоляция сертифицирована и соответствует требованиям СП 61.13330.2012 «Тепловая изоляция оборудования и трубопроводов». Под изоляцию трубопроводы окрашиваются эмалью БТ-177 за два раза по грунту ГФ-021.</w:t>
      </w:r>
    </w:p>
    <w:p>
      <w:pPr>
        <w:pStyle w:val="Normal"/>
        <w:ind w:right="-1" w:firstLine="709"/>
        <w:rPr/>
      </w:pPr>
      <w:r>
        <w:rPr/>
        <w:t xml:space="preserve">Трубопроводы в местах пересечения стен и перекрытий прокладываются  в гильзах из негорючих материалов с заделкой отверстий и зазоров негорючими материалами, обеспечивающими нормируемый предел огнестойкости ограждения. </w:t>
      </w:r>
    </w:p>
    <w:p>
      <w:pPr>
        <w:pStyle w:val="Normal"/>
        <w:ind w:right="-1" w:firstLine="709"/>
        <w:rPr/>
      </w:pPr>
      <w:r>
        <w:rPr/>
        <w:t>При разработке проекта учтены меры по предотвращению ожогов, травм и несчастных случаев:</w:t>
      </w:r>
    </w:p>
    <w:p>
      <w:pPr>
        <w:pStyle w:val="Normal"/>
        <w:ind w:right="-1" w:firstLine="709"/>
        <w:rPr/>
      </w:pPr>
      <w:r>
        <w:rPr/>
        <w:t>- выполнена изоляция трубопроводов систем отопления. Температура поверхности тепловой изоляции не превышает 40 °С;</w:t>
      </w:r>
    </w:p>
    <w:p>
      <w:pPr>
        <w:pStyle w:val="Normal"/>
        <w:ind w:right="-1" w:firstLine="709"/>
        <w:rPr/>
      </w:pPr>
      <w:r>
        <w:rPr/>
        <w:t>- температура поверхности отопительных приборов не превышает 70 ºС.</w:t>
      </w:r>
    </w:p>
    <w:p>
      <w:pPr>
        <w:pStyle w:val="Normal"/>
        <w:ind w:right="-1" w:firstLine="709"/>
        <w:rPr>
          <w:rFonts w:eastAsia="Times New Roman"/>
          <w:bCs/>
          <w:iCs/>
        </w:rPr>
      </w:pPr>
      <w:r>
        <w:rPr>
          <w:b/>
        </w:rPr>
        <w:t xml:space="preserve">Вентиляция. </w:t>
      </w:r>
      <w:r>
        <w:rPr/>
        <w:t xml:space="preserve">Проектной документацией предусматривается устройство приточно-вытяжной вентиляции помещений квартир с естественным побуждением воздуха. </w:t>
      </w:r>
      <w:r>
        <w:rPr>
          <w:rFonts w:eastAsia="Times New Roman"/>
          <w:bCs/>
          <w:iCs/>
        </w:rPr>
        <w:t>В целях повышения эффективности работы вентиляции на последних этажах в кухнях и санузлах предусмотрены самостоятельные вытяжные системы с установкой бытовых канальных вентиляторов.</w:t>
      </w:r>
    </w:p>
    <w:p>
      <w:pPr>
        <w:pStyle w:val="Normal"/>
        <w:ind w:right="-1" w:firstLine="709"/>
        <w:rPr/>
      </w:pPr>
      <w:r>
        <w:rPr/>
        <w:t>Расчет воздухообмена жилых квартир выполнен в соответствии с [табл.9.1, СП 54.13330.2011] и составляет 3 м3/ч на 1 м2 жилой площади.</w:t>
      </w:r>
    </w:p>
    <w:p>
      <w:pPr>
        <w:pStyle w:val="Normal"/>
        <w:ind w:right="-1" w:firstLine="709"/>
        <w:rPr/>
      </w:pPr>
      <w:r>
        <w:rPr/>
        <w:t>Приток воздуха в квартиры осуществляется инфильтрацией воздуха через открываемые окна, вытяжка - посредством вытяжных каналов в строительных конструкциях помещений санитарных узлов, ванных комнат и кухонь с выбросом воздуха в «теплый чердак» и последующим его удалением через общие вытяжные шахты, выведенные выше уровня кровли. Расход воздуха, удаляемого из объема теплого чердака, принят на 30% больше нормативного, удаляемого из жилых помещений. Для усиления тяги вытяжные шахты снабжены дефлекторами.</w:t>
      </w:r>
    </w:p>
    <w:p>
      <w:pPr>
        <w:pStyle w:val="Normal"/>
        <w:ind w:right="-1" w:firstLine="709"/>
        <w:rPr/>
      </w:pPr>
      <w:r>
        <w:rPr/>
        <w:t>На входе в вентиляционные каналы устанавливаются регулируемые решетки.</w:t>
      </w:r>
    </w:p>
    <w:p>
      <w:pPr>
        <w:pStyle w:val="Normal"/>
        <w:widowControl/>
        <w:ind w:right="-1" w:firstLine="709"/>
        <w:rPr/>
      </w:pPr>
      <w:r>
        <w:rPr/>
        <w:t xml:space="preserve">Вытяжная вентиляция мусорокамеры естественная, осуществляется через ствол мусоропровода. </w:t>
      </w:r>
    </w:p>
    <w:p>
      <w:pPr>
        <w:pStyle w:val="Normal"/>
        <w:widowControl/>
        <w:ind w:right="-1" w:firstLine="709"/>
        <w:rPr/>
      </w:pPr>
      <w:r>
        <w:rPr/>
        <w:t>В ИТП, электрощитовых, машинных помещениях лифтов, водомерном узле предусматривается вытяжная вентиляция с механическим побуждением.</w:t>
      </w:r>
    </w:p>
    <w:p>
      <w:pPr>
        <w:pStyle w:val="Normal"/>
        <w:ind w:right="-1" w:firstLine="709"/>
        <w:rPr/>
      </w:pPr>
      <w:r>
        <w:rPr/>
        <w:t>Для вентиляции технического подполья в наружных стенах предусмотрены продухи площадью 0,05 м2 каждый. В качестве дополнительных продухов частью АР предусматриваются отверстия в дверях выхода из техподполья.</w:t>
      </w:r>
    </w:p>
    <w:p>
      <w:pPr>
        <w:pStyle w:val="Normal"/>
        <w:suppressAutoHyphens w:val="true"/>
        <w:ind w:right="-1" w:firstLine="709"/>
        <w:textAlignment w:val="baseline"/>
        <w:rPr>
          <w:b/>
          <w:b/>
        </w:rPr>
      </w:pPr>
      <w:r>
        <w:rPr>
          <w:b/>
        </w:rPr>
        <w:t>2 этап строительства.</w:t>
      </w:r>
    </w:p>
    <w:p>
      <w:pPr>
        <w:pStyle w:val="Normal"/>
        <w:ind w:right="-1" w:firstLine="709"/>
        <w:rPr/>
      </w:pPr>
      <w:r>
        <w:rPr/>
        <w:t>Подключение к наружным тепловым сетям выполнено через индивидуальные тепловые пункты самостоятельные для нежилых помещений- офисов секций 6-8 и 10-17 этажного жилого дома- секции 6-8.</w:t>
      </w:r>
    </w:p>
    <w:p>
      <w:pPr>
        <w:pStyle w:val="Normal"/>
        <w:ind w:right="-1" w:firstLine="709"/>
        <w:rPr/>
      </w:pPr>
      <w:r>
        <mc:AlternateContent>
          <mc:Choice Requires="wps">
            <w:drawing>
              <wp:anchor behindDoc="1" distT="0" distB="0" distL="114300" distR="114300" simplePos="0" locked="0" layoutInCell="1" allowOverlap="1" relativeHeight="3">
                <wp:simplePos x="0" y="0"/>
                <wp:positionH relativeFrom="page">
                  <wp:posOffset>6115050</wp:posOffset>
                </wp:positionH>
                <wp:positionV relativeFrom="margin">
                  <wp:align>top</wp:align>
                </wp:positionV>
                <wp:extent cx="527050" cy="525145"/>
                <wp:effectExtent l="0" t="0" r="0" b="0"/>
                <wp:wrapNone/>
                <wp:docPr id="5" name="Врезка20"/>
                <a:graphic xmlns:a="http://schemas.openxmlformats.org/drawingml/2006/main">
                  <a:graphicData uri="http://schemas.microsoft.com/office/word/2010/wordprocessingShape">
                    <wps:wsp>
                      <wps:cNvSpPr/>
                      <wps:spPr>
                        <a:xfrm>
                          <a:off x="0" y="0"/>
                          <a:ext cx="526320" cy="524520"/>
                        </a:xfrm>
                        <a:prstGeom prst="rect">
                          <a:avLst/>
                        </a:prstGeom>
                        <a:noFill/>
                        <a:ln>
                          <a:noFill/>
                        </a:ln>
                      </wps:spPr>
                      <wps:style>
                        <a:lnRef idx="0"/>
                        <a:fillRef idx="0"/>
                        <a:effectRef idx="0"/>
                        <a:fontRef idx="minor"/>
                      </wps:style>
                      <wps:txbx>
                        <w:txbxContent>
                          <w:tbl>
                            <w:tblPr>
                              <w:tblW w:w="540" w:type="dxa"/>
                              <w:jc w:val="left"/>
                              <w:tblInd w:w="0" w:type="dxa"/>
                              <w:tblBorders/>
                              <w:tblCellMar>
                                <w:top w:w="0" w:type="dxa"/>
                                <w:left w:w="10" w:type="dxa"/>
                                <w:bottom w:w="0" w:type="dxa"/>
                                <w:right w:w="10" w:type="dxa"/>
                              </w:tblCellMar>
                              <w:tblLook w:firstRow="0" w:noVBand="0" w:lastRow="0" w:firstColumn="0" w:lastColumn="0" w:noHBand="0" w:val="0000"/>
                            </w:tblPr>
                            <w:tblGrid>
                              <w:gridCol w:w="540"/>
                            </w:tblGrid>
                            <w:tr>
                              <w:trPr>
                                <w:trHeight w:val="420" w:hRule="atLeast"/>
                              </w:trPr>
                              <w:tc>
                                <w:tcPr>
                                  <w:tcW w:w="540" w:type="dxa"/>
                                  <w:tcBorders/>
                                  <w:shd w:color="auto" w:fill="FFFFFF" w:val="clear"/>
                                  <w:vAlign w:val="center"/>
                                </w:tcPr>
                                <w:tbl>
                                  <w:tblPr>
                                    <w:tblW w:w="5000" w:type="pct"/>
                                    <w:jc w:val="left"/>
                                    <w:tblInd w:w="10" w:type="dxa"/>
                                    <w:tblBorders/>
                                    <w:tblCellMar>
                                      <w:top w:w="0" w:type="dxa"/>
                                      <w:left w:w="10" w:type="dxa"/>
                                      <w:bottom w:w="0" w:type="dxa"/>
                                      <w:right w:w="10" w:type="dxa"/>
                                    </w:tblCellMar>
                                    <w:tblLook w:firstRow="0" w:noVBand="0" w:lastRow="0" w:firstColumn="0" w:lastColumn="0" w:noHBand="0" w:val="0000"/>
                                  </w:tblPr>
                                  <w:tblGrid>
                                    <w:gridCol w:w="520"/>
                                  </w:tblGrid>
                                  <w:tr>
                                    <w:trPr/>
                                    <w:tc>
                                      <w:tcPr>
                                        <w:tcW w:w="520" w:type="dxa"/>
                                        <w:tcBorders/>
                                        <w:shd w:fill="auto" w:val="clear"/>
                                        <w:vAlign w:val="center"/>
                                      </w:tcPr>
                                      <w:p>
                                        <w:pPr>
                                          <w:pStyle w:val="Style45"/>
                                          <w:jc w:val="center"/>
                                          <w:rPr>
                                            <w:rFonts w:ascii="Arial Narrow" w:hAnsi="Arial Narrow"/>
                                          </w:rPr>
                                        </w:pPr>
                                        <w:r>
                                          <w:rPr>
                                            <w:rFonts w:ascii="Arial Narrow" w:hAnsi="Arial Narrow"/>
                                          </w:rPr>
                                          <w:t xml:space="preserve"> </w:t>
                                        </w:r>
                                      </w:p>
                                    </w:tc>
                                  </w:tr>
                                </w:tbl>
                                <w:p>
                                  <w:pPr>
                                    <w:pStyle w:val="Style45"/>
                                    <w:rPr/>
                                  </w:pPr>
                                  <w:r>
                                    <w:rPr/>
                                    <w:t> </w:t>
                                  </w:r>
                                </w:p>
                              </w:tc>
                            </w:tr>
                          </w:tbl>
                          <w:p>
                            <w:pPr>
                              <w:pStyle w:val="Style50"/>
                              <w:rPr>
                                <w:color w:val="auto"/>
                              </w:rPr>
                            </w:pPr>
                            <w:r>
                              <w:rPr>
                                <w:color w:val="auto"/>
                              </w:rPr>
                            </w:r>
                          </w:p>
                        </w:txbxContent>
                      </wps:txbx>
                      <wps:bodyPr lIns="0" rIns="0" tIns="0" bIns="0">
                        <a:spAutoFit/>
                      </wps:bodyPr>
                    </wps:wsp>
                  </a:graphicData>
                </a:graphic>
              </wp:anchor>
            </w:drawing>
          </mc:Choice>
          <mc:Fallback>
            <w:pict>
              <v:rect id="shape_0" ID="Врезка20" stroked="f" style="position:absolute;margin-left:481.5pt;margin-top:0pt;width:41.4pt;height:41.25pt;mso-position-horizontal-relative:page;mso-position-vertical:top;mso-position-vertical-relative:margin">
                <w10:wrap type="none"/>
                <v:fill o:detectmouseclick="t" on="false"/>
                <v:stroke color="#3465a4" joinstyle="round" endcap="flat"/>
                <v:textbox>
                  <w:txbxContent>
                    <w:tbl>
                      <w:tblPr>
                        <w:tblW w:w="540" w:type="dxa"/>
                        <w:jc w:val="left"/>
                        <w:tblInd w:w="0" w:type="dxa"/>
                        <w:tblBorders/>
                        <w:tblCellMar>
                          <w:top w:w="0" w:type="dxa"/>
                          <w:left w:w="10" w:type="dxa"/>
                          <w:bottom w:w="0" w:type="dxa"/>
                          <w:right w:w="10" w:type="dxa"/>
                        </w:tblCellMar>
                        <w:tblLook w:firstRow="0" w:noVBand="0" w:lastRow="0" w:firstColumn="0" w:lastColumn="0" w:noHBand="0" w:val="0000"/>
                      </w:tblPr>
                      <w:tblGrid>
                        <w:gridCol w:w="540"/>
                      </w:tblGrid>
                      <w:tr>
                        <w:trPr>
                          <w:trHeight w:val="420" w:hRule="atLeast"/>
                        </w:trPr>
                        <w:tc>
                          <w:tcPr>
                            <w:tcW w:w="540" w:type="dxa"/>
                            <w:tcBorders/>
                            <w:shd w:color="auto" w:fill="FFFFFF" w:val="clear"/>
                            <w:vAlign w:val="center"/>
                          </w:tcPr>
                          <w:tbl>
                            <w:tblPr>
                              <w:tblW w:w="5000" w:type="pct"/>
                              <w:jc w:val="left"/>
                              <w:tblInd w:w="10" w:type="dxa"/>
                              <w:tblBorders/>
                              <w:tblCellMar>
                                <w:top w:w="0" w:type="dxa"/>
                                <w:left w:w="10" w:type="dxa"/>
                                <w:bottom w:w="0" w:type="dxa"/>
                                <w:right w:w="10" w:type="dxa"/>
                              </w:tblCellMar>
                              <w:tblLook w:firstRow="0" w:noVBand="0" w:lastRow="0" w:firstColumn="0" w:lastColumn="0" w:noHBand="0" w:val="0000"/>
                            </w:tblPr>
                            <w:tblGrid>
                              <w:gridCol w:w="520"/>
                            </w:tblGrid>
                            <w:tr>
                              <w:trPr/>
                              <w:tc>
                                <w:tcPr>
                                  <w:tcW w:w="520" w:type="dxa"/>
                                  <w:tcBorders/>
                                  <w:shd w:fill="auto" w:val="clear"/>
                                  <w:vAlign w:val="center"/>
                                </w:tcPr>
                                <w:p>
                                  <w:pPr>
                                    <w:pStyle w:val="Style45"/>
                                    <w:jc w:val="center"/>
                                    <w:rPr>
                                      <w:rFonts w:ascii="Arial Narrow" w:hAnsi="Arial Narrow"/>
                                    </w:rPr>
                                  </w:pPr>
                                  <w:r>
                                    <w:rPr>
                                      <w:rFonts w:ascii="Arial Narrow" w:hAnsi="Arial Narrow"/>
                                    </w:rPr>
                                    <w:t xml:space="preserve"> </w:t>
                                  </w:r>
                                </w:p>
                              </w:tc>
                            </w:tr>
                          </w:tbl>
                          <w:p>
                            <w:pPr>
                              <w:pStyle w:val="Style45"/>
                              <w:rPr/>
                            </w:pPr>
                            <w:r>
                              <w:rPr/>
                              <w:t> </w:t>
                            </w:r>
                          </w:p>
                        </w:tc>
                      </w:tr>
                    </w:tbl>
                    <w:p>
                      <w:pPr>
                        <w:pStyle w:val="Style50"/>
                        <w:rPr>
                          <w:color w:val="auto"/>
                        </w:rPr>
                      </w:pPr>
                      <w:r>
                        <w:rPr>
                          <w:color w:val="auto"/>
                        </w:rPr>
                      </w:r>
                    </w:p>
                  </w:txbxContent>
                </v:textbox>
              </v:rect>
            </w:pict>
          </mc:Fallback>
        </mc:AlternateContent>
      </w:r>
      <w:r>
        <w:rPr/>
        <w:t>В качестве теплоносителя используется теплофикационная вода с расчётным перепадом температур 150-70ºС. Давление на вводе в здание:</w:t>
      </w:r>
    </w:p>
    <w:p>
      <w:pPr>
        <w:pStyle w:val="Normal"/>
        <w:ind w:right="-1" w:firstLine="709"/>
        <w:rPr/>
      </w:pPr>
      <w:r>
        <w:rPr/>
        <w:t>Р1=6,6 кгс/см</w:t>
      </w:r>
      <w:r>
        <w:rPr>
          <w:vertAlign w:val="superscript"/>
        </w:rPr>
        <w:t>2</w:t>
      </w:r>
      <w:r>
        <w:rPr/>
        <w:t xml:space="preserve"> - в подающем трубопроводе;</w:t>
      </w:r>
    </w:p>
    <w:p>
      <w:pPr>
        <w:pStyle w:val="Normal"/>
        <w:ind w:right="-1" w:firstLine="709"/>
        <w:rPr/>
      </w:pPr>
      <w:r>
        <w:rPr/>
        <w:t>Р2=5,7кгс/см</w:t>
      </w:r>
      <w:r>
        <w:rPr>
          <w:vertAlign w:val="superscript"/>
        </w:rPr>
        <w:t>2</w:t>
      </w:r>
      <w:r>
        <w:rPr/>
        <w:t xml:space="preserve"> - в обратном трубопроводе.</w:t>
      </w:r>
    </w:p>
    <w:p>
      <w:pPr>
        <w:pStyle w:val="Normal"/>
        <w:ind w:right="-1" w:firstLine="709"/>
        <w:rPr/>
      </w:pPr>
      <w:r>
        <w:rPr/>
        <w:t>ИТП предусмотрены для защиты местных систем от аварийного повышения параметров теплоносителя, обеспечения заданного температурного графика в системах отопления, приготовления воды для систем горячего водоснабжения, учета потребляемой тепловой энергии.</w:t>
      </w:r>
    </w:p>
    <w:p>
      <w:pPr>
        <w:pStyle w:val="Normal"/>
        <w:ind w:right="-1" w:firstLine="709"/>
        <w:rPr/>
      </w:pPr>
      <w:r>
        <w:rPr>
          <w:b/>
          <w:color w:val="000000"/>
          <w:u w:val="single"/>
          <w:lang w:eastAsia="en-US"/>
        </w:rPr>
        <w:t>Индивидуальный тепловой пункт для нежилых помещений (офисов) секции 6-8.</w:t>
      </w:r>
      <w:r>
        <w:rPr>
          <w:b/>
          <w:color w:val="000000"/>
          <w:lang w:eastAsia="en-US"/>
        </w:rPr>
        <w:t xml:space="preserve"> </w:t>
      </w:r>
      <w:r>
        <w:rPr/>
        <w:t>ИТП  для нежилых помещений  (офисов) расположен в помещении в осях 7с-8с, Б-В    на отметке -2,350 (расстояние до выхода наружу-5м).</w:t>
      </w:r>
    </w:p>
    <w:p>
      <w:pPr>
        <w:pStyle w:val="Normal"/>
        <w:ind w:right="-1" w:firstLine="709"/>
        <w:rPr/>
      </w:pPr>
      <w:r>
        <w:rPr/>
        <w:t xml:space="preserve"> </w:t>
      </w:r>
      <w:r>
        <w:rPr/>
        <w:t>Система горячего водоснабжения предусмотрена от электрических водонагревателей, разработана в разделе ВК.</w:t>
      </w:r>
    </w:p>
    <w:p>
      <w:pPr>
        <w:pStyle w:val="Normal"/>
        <w:ind w:right="-1" w:firstLine="709"/>
        <w:rPr/>
      </w:pPr>
      <w:r>
        <w:rPr/>
        <w:t xml:space="preserve">Учёт тепловой энергии осуществляется посредством преобразователей расхода ЭМИР-ПРАМЕР и тепловычислителя ТВ-7-04.    </w:t>
      </w:r>
    </w:p>
    <w:p>
      <w:pPr>
        <w:pStyle w:val="Normal"/>
        <w:ind w:right="-1" w:firstLine="709"/>
        <w:rPr/>
      </w:pPr>
      <w:r>
        <w:rPr/>
        <w:t>Для защиты местных систем от аварийного повышения параметров теплоносителя предусматривается установка регулятора давления.</w:t>
      </w:r>
    </w:p>
    <w:p>
      <w:pPr>
        <w:pStyle w:val="Normal"/>
        <w:ind w:right="-1" w:firstLine="709"/>
        <w:rPr/>
      </w:pPr>
      <w:r>
        <w:rPr/>
        <w:t>Подключение систем отопления к тепловым сетям выполнено по зависимой схеме, циркуляция осуществляется с помощью насосов MAGNA3 25-60F (1-рабочий,1-резервный) с частотно-регулируемым приводом,   фирмы «GRUNDFOS».</w:t>
      </w:r>
    </w:p>
    <w:p>
      <w:pPr>
        <w:pStyle w:val="Normal"/>
        <w:ind w:right="-1" w:firstLine="709"/>
        <w:rPr/>
      </w:pPr>
      <w:r>
        <w:rPr/>
        <w:t>Параметры теплоносителя в системах отопления- 95-70ºС.</w:t>
      </w:r>
    </w:p>
    <w:p>
      <w:pPr>
        <w:pStyle w:val="Normal"/>
        <w:ind w:right="-1" w:firstLine="709"/>
        <w:rPr/>
      </w:pPr>
      <w:r>
        <w:rPr/>
        <w:t xml:space="preserve">Поддержание температурного графика в системах отопления жилого дома выполняет регулирующий клапан VВ2, управляемый контроллером фирмы «DANFOSS»,   обеспечивающий изменение температуры воды в зависимости от температуры наружного воздуха.   </w:t>
      </w:r>
    </w:p>
    <w:p>
      <w:pPr>
        <w:pStyle w:val="Normal"/>
        <w:ind w:right="-1" w:firstLine="709"/>
        <w:rPr/>
      </w:pPr>
      <w:r>
        <w:rPr/>
        <w:t>В нижних точках системы теплоснабжения предусмотрены спускники (запорная арматура Ду 25), в верхних- воздушники (запорная арматура Ду 15) .</w:t>
      </w:r>
    </w:p>
    <w:p>
      <w:pPr>
        <w:pStyle w:val="Normal"/>
        <w:ind w:right="-1" w:firstLine="709"/>
        <w:rPr/>
      </w:pPr>
      <w:r>
        <w:rPr/>
        <w:t>Опорожнение трубопроводов и оборудования осуществляется самотеком  с разрывом струи в дренажный приямок, с последующей откачкой воды в систему канализации.</w:t>
      </w:r>
    </w:p>
    <w:p>
      <w:pPr>
        <w:pStyle w:val="Normal"/>
        <w:ind w:right="-1" w:firstLine="709"/>
        <w:rPr/>
      </w:pPr>
      <w:r>
        <w:rPr/>
        <w:t>В составе ИТП также предусмотрены сетчатые фильтры, предохранительная, запорная и регулирующая арматура, контрольно-измерительные приборы по температуре и давлению.</w:t>
      </w:r>
    </w:p>
    <w:p>
      <w:pPr>
        <w:pStyle w:val="Normal"/>
        <w:ind w:right="-1" w:firstLine="709"/>
        <w:rPr/>
      </w:pPr>
      <w:r>
        <w:rPr/>
        <w:t>Трубопроводы сетевой воды предусмотрены из стальных бесшовных горячекатанных труб по ГОСТ 8732-78 гр. В ст.3сп5.</w:t>
      </w:r>
    </w:p>
    <w:p>
      <w:pPr>
        <w:pStyle w:val="Normal"/>
        <w:ind w:right="-1" w:firstLine="709"/>
        <w:rPr/>
      </w:pPr>
      <w:r>
        <w:rPr/>
        <w:t xml:space="preserve"> </w:t>
      </w:r>
      <w:r>
        <w:rPr/>
        <w:t>Антикоррозийное покрытие - краской  БТ-177 в два слоя по грунтовке ГФ-021. Тепловая изоляция трубопроводов предусмотрена матами из стекловолокна «URSA» марки М-15 с покровным слоем из ленты из алюминия и алюминиевых сплавов.</w:t>
      </w:r>
    </w:p>
    <w:p>
      <w:pPr>
        <w:pStyle w:val="Normal"/>
        <w:ind w:right="-1" w:firstLine="709"/>
        <w:rPr/>
      </w:pPr>
      <w:r>
        <w:rPr/>
        <w:t>Арматура изолируется футлярами из оцинкованной стали, заполненными минватой.</w:t>
      </w:r>
    </w:p>
    <w:p>
      <w:pPr>
        <w:pStyle w:val="Normal"/>
        <w:suppressAutoHyphens w:val="true"/>
        <w:ind w:right="-1" w:firstLine="709"/>
        <w:textAlignment w:val="baseline"/>
        <w:rPr>
          <w:rFonts w:eastAsia="Lucida Sans Unicode"/>
          <w:b/>
          <w:b/>
          <w:color w:val="000000"/>
          <w:u w:val="single"/>
          <w:lang w:eastAsia="en-US" w:bidi="ru-RU"/>
        </w:rPr>
      </w:pPr>
      <w:r>
        <w:rPr>
          <w:rFonts w:eastAsia="Lucida Sans Unicode"/>
          <w:b/>
          <w:color w:val="000000"/>
          <w:u w:val="single"/>
          <w:lang w:eastAsia="en-US" w:bidi="ru-RU"/>
        </w:rPr>
        <w:t xml:space="preserve">ИТП для 9-17-ти этажного жилого дома секции 6-8. </w:t>
      </w:r>
    </w:p>
    <w:p>
      <w:pPr>
        <w:pStyle w:val="Normal"/>
        <w:ind w:right="-1" w:firstLine="709"/>
        <w:rPr/>
      </w:pPr>
      <w:r>
        <w:rPr/>
        <w:t xml:space="preserve">ИТП жилого дома расположен в помещение в осях 5с-7с,Ас-Гс (секция 6) на отметке -2,500 (с самостоятельным выходом наружу). Учёт тепловой энергии осуществляется посредством преобразователей расхода ЭМИР-ПРАМЕР и тепловычислителя ТВ-7-04.    </w:t>
      </w:r>
    </w:p>
    <w:p>
      <w:pPr>
        <w:pStyle w:val="Normal"/>
        <w:ind w:right="-1" w:firstLine="709"/>
        <w:rPr/>
      </w:pPr>
      <w:r>
        <w:rPr/>
        <w:t>Для защиты местных систем от аварийного повышения параметров теплоносителя предусматривается установка регулятора давления.</w:t>
      </w:r>
    </w:p>
    <w:p>
      <w:pPr>
        <w:pStyle w:val="Normal"/>
        <w:ind w:right="-1" w:firstLine="709"/>
        <w:rPr/>
      </w:pPr>
      <w:r>
        <w:rPr/>
        <w:t>Подключение системы отопления  жилых помещений к тепловым сетям выполнено по независимой схеме через пластинчатый теплообменник фирмы «ЭТРА», циркуляция осуществляется с помощью насосов MAGNA3 65-150 F (1-рабочий,1-резервный) с частотно-регулируемым приводом, фирмы «GRUNDFOS».</w:t>
      </w:r>
    </w:p>
    <w:p>
      <w:pPr>
        <w:pStyle w:val="Normal"/>
        <w:ind w:right="-1" w:firstLine="709"/>
        <w:rPr/>
      </w:pPr>
      <w:r>
        <w:rPr/>
        <w:t>Параметры теплоносителя в системах отопления- 95-70ºС.</w:t>
      </w:r>
    </w:p>
    <w:p>
      <w:pPr>
        <w:pStyle w:val="Normal"/>
        <w:ind w:right="-1" w:firstLine="709"/>
        <w:rPr/>
      </w:pPr>
      <w:r>
        <w:rPr/>
        <w:t>Поддержание температурного графика в системе отопления жилого дома выполняет регулирующий клапан VВ2, управляемый контроллером фирмы «DANFOSS» и обеспечивающий изменение температуры воды в зависимости от температуры наружного воздуха.</w:t>
      </w:r>
    </w:p>
    <w:p>
      <w:pPr>
        <w:pStyle w:val="Normal"/>
        <w:ind w:right="-1" w:firstLine="709"/>
        <w:rPr/>
      </w:pPr>
      <w:r>
        <w:rPr/>
        <w:t>Заполнение и подпитка систем потребления теплоты предусмотрена водой из обратного трубопровода тепловой сети с установкой подпиточных насосов CR 5-8 (1-рабочий,1-резервный).</w:t>
      </w:r>
    </w:p>
    <w:p>
      <w:pPr>
        <w:pStyle w:val="Normal"/>
        <w:ind w:right="-1" w:firstLine="709"/>
        <w:rPr/>
      </w:pPr>
      <w:r>
        <w:rPr/>
        <w:t>Подключение системы отопления  нежилых помещений к тепловым сетям выполнено по зависимой схеме. Для обеспечения температурного графика 95-70ºС в системе отопления предусмотрена установка смесительных насосов  ALPHA2 25-60 (1-рабочий,1-резервный) с частотно-регулируемым приводом фирмы «GRUNDFOS».</w:t>
      </w:r>
    </w:p>
    <w:p>
      <w:pPr>
        <w:pStyle w:val="Normal"/>
        <w:ind w:right="-1" w:firstLine="709"/>
        <w:rPr/>
      </w:pPr>
      <w:r>
        <w:rPr/>
        <w:t>Теплоноситель поступает в систему отопления через регулирующий клапан VB2, управляемый контроллером и обеспечивающий изменение температуры воды по отопительному графику в зависимости от температуры наружнего воздуха.</w:t>
      </w:r>
    </w:p>
    <w:p>
      <w:pPr>
        <w:pStyle w:val="Normal"/>
        <w:ind w:right="-1" w:firstLine="709"/>
        <w:rPr/>
      </w:pPr>
      <w:r>
        <w:rPr/>
        <w:t>Cистема горячего водоснабжения присоединена к тепловой сети по закрытой двухступенчатой смешанной схеме, через пластинчатый теплообменник ЭТ-019см-16-52 (моноблок), фирмы «ЭТРА».</w:t>
      </w:r>
    </w:p>
    <w:p>
      <w:pPr>
        <w:pStyle w:val="Normal"/>
        <w:ind w:right="-1" w:firstLine="709"/>
        <w:rPr/>
      </w:pPr>
      <w:r>
        <w:rPr/>
        <w:t>Поддержание температурного графика в системе ГВС выполняет регулирующий клапан VВ2, управляемый контроллером фирмы «DANFOSS». Температура воды в системе горячего водоснабжения поддерживается 65ºС. Для обеспечения циркуляции в системе горячего водоснабжения предусмотрена установка  насосов CR 1-7 (1-рабочий,1-резервный, хранится на складе).</w:t>
      </w:r>
    </w:p>
    <w:p>
      <w:pPr>
        <w:pStyle w:val="Normal"/>
        <w:ind w:right="-1" w:firstLine="709"/>
        <w:rPr/>
      </w:pPr>
      <w:r>
        <w:rPr/>
        <w:t>В нижних точках системы теплоснабжения предусмотрены спускники (запорная арматура Ду 25), в верхних-воздушники (запорная арматура Ду 15) .</w:t>
      </w:r>
    </w:p>
    <w:p>
      <w:pPr>
        <w:pStyle w:val="Normal"/>
        <w:ind w:right="-1" w:firstLine="709"/>
        <w:rPr/>
      </w:pPr>
      <w:r>
        <w:rPr/>
        <w:t>Опорожнение трубопроводов и оборудования осуществляется самотеком с разрывом струи в дренажный приямок, с последующей откачкой воды в систему канализации.</w:t>
      </w:r>
    </w:p>
    <w:p>
      <w:pPr>
        <w:pStyle w:val="Normal"/>
        <w:ind w:right="-1" w:firstLine="709"/>
        <w:rPr/>
      </w:pPr>
      <w:r>
        <w:rPr/>
        <w:t>В составе ИТП также предусмотрены сетчатые фильтры, предохранительная, запорная и регулирующая арматура, контрольно-измерительные приборы по температуре и давлению.</w:t>
      </w:r>
    </w:p>
    <w:p>
      <w:pPr>
        <w:pStyle w:val="Normal"/>
        <w:ind w:right="-1" w:firstLine="709"/>
        <w:rPr/>
      </w:pPr>
      <w:r>
        <w:rPr/>
        <w:t>Трубопроводы сетевой воды предусмотрены из стальных бесшовных горячекатанных труб по ГОСТ 8732-78 гр. В ст.3сп5., трубопроводы горячего водоснабжения - из стальных водогазопроводных оцинкованных труб по ГОСТ 3262-75*.</w:t>
      </w:r>
    </w:p>
    <w:p>
      <w:pPr>
        <w:pStyle w:val="Normal"/>
        <w:ind w:right="-1" w:firstLine="709"/>
        <w:rPr/>
      </w:pPr>
      <w:r>
        <w:rPr/>
        <w:t>Антикоррозийное покрытие - краской БТ-177 в два слоя по грунтовке ГФ-021. Тепловая изоляция трубопроводов предусмотрена матами из стекловолокна «URSA» марки М-15 с покровным слоем из ленты из алюминия и алюминиевых сплавов.</w:t>
      </w:r>
    </w:p>
    <w:p>
      <w:pPr>
        <w:pStyle w:val="Normal"/>
        <w:ind w:right="-1" w:firstLine="709"/>
        <w:rPr/>
      </w:pPr>
      <w:r>
        <w:rPr/>
        <w:t>Арматура изолируется футлярами из оцинкованной стали, заполненными минватой.</w:t>
      </w:r>
    </w:p>
    <w:p>
      <w:pPr>
        <w:pStyle w:val="Normal"/>
        <w:ind w:right="-1" w:firstLine="709"/>
        <w:rPr/>
      </w:pPr>
      <w:r>
        <w:rPr>
          <w:b/>
          <w:color w:val="000000"/>
          <w:u w:val="single"/>
          <w:lang w:eastAsia="en-US"/>
        </w:rPr>
        <w:t xml:space="preserve">Отопление нежилых помещений (офисов). </w:t>
      </w:r>
      <w:r>
        <w:rPr/>
        <w:t>Система отопления нежилых помещений (офисов) принята двухтрубная с горизонтальной разводкой.</w:t>
      </w:r>
    </w:p>
    <w:p>
      <w:pPr>
        <w:pStyle w:val="Normal"/>
        <w:ind w:right="-1" w:firstLine="709"/>
        <w:rPr/>
      </w:pPr>
      <w:r>
        <w:rPr/>
        <w:t>Для отопления офисных помещений приняты секционные биметаллические радиаторы «RIFAR Base» с установкой терморегулятора Danfoss RA-N и встроенным воздухоотводчиком.</w:t>
      </w:r>
    </w:p>
    <w:p>
      <w:pPr>
        <w:pStyle w:val="Normal"/>
        <w:ind w:right="-1" w:firstLine="709"/>
        <w:rPr/>
      </w:pPr>
      <w:r>
        <w:rPr/>
        <w:t>Система отопления офисных помещений предусмотрена из стальных водогазопроводных обыкновенных труб (диаметр&lt;=50мм) по ГОСТ 3262-75 с изоляцией трубками K-Flex толщиной 13мм. Примененная в проекте изоляция сертифицирована и соответствует требованиям СП 61.13330.2012 «Тепловая изоляция оборудования и трубопроводов».</w:t>
      </w:r>
    </w:p>
    <w:p>
      <w:pPr>
        <w:pStyle w:val="Normal"/>
        <w:ind w:right="-1" w:firstLine="709"/>
        <w:rPr/>
      </w:pPr>
      <w:r>
        <w:rPr/>
        <w:t>Теплопроизводительность системы отопления определена в соответствии с СП 60.13330.2012 п.6.2.2. При определении мощности отопительных приборов были учтены дополнительные нагрузки на нагрев приточного воздуха.</w:t>
      </w:r>
    </w:p>
    <w:p>
      <w:pPr>
        <w:pStyle w:val="Normal"/>
        <w:ind w:right="-1" w:firstLine="709"/>
        <w:rPr/>
      </w:pPr>
      <w:r>
        <w:rPr/>
        <w:t>Отопительные приборы устанавливаются у наружных ограждений и под световыми проемами. Длина отопительных приборов составляет не менее 50% длины оконного проема.</w:t>
      </w:r>
    </w:p>
    <w:p>
      <w:pPr>
        <w:pStyle w:val="Normal"/>
        <w:ind w:right="-1" w:firstLine="709"/>
        <w:rPr/>
      </w:pPr>
      <w:r>
        <w:rPr/>
        <w:t xml:space="preserve">Трубопроводы в местах пересечения стен и перекрытий прокладываются  в гильзах из негорючих материалов с заделкой отверстий и зазоров негорючими материалами, обеспечивающими нормируемый предел огнестойкости ограждения. </w:t>
      </w:r>
    </w:p>
    <w:p>
      <w:pPr>
        <w:pStyle w:val="Normal"/>
        <w:ind w:right="-1" w:firstLine="709"/>
        <w:rPr/>
      </w:pPr>
      <w:r>
        <w:rPr>
          <w:b/>
          <w:color w:val="000000"/>
          <w:u w:val="single"/>
          <w:lang w:eastAsia="en-US"/>
        </w:rPr>
        <w:t>Отопление жилых помещений.</w:t>
      </w:r>
      <w:r>
        <w:rPr>
          <w:b/>
          <w:color w:val="000000"/>
          <w:lang w:eastAsia="en-US"/>
        </w:rPr>
        <w:t xml:space="preserve"> </w:t>
      </w:r>
      <w:r>
        <w:rPr/>
        <w:t>Система отопления для секций 6, 7 запроектирована однотрубная вертикальная со смещенным замыкающим участком с нижней разводкой подающей магистрали и П-образными стояками.</w:t>
      </w:r>
    </w:p>
    <w:p>
      <w:pPr>
        <w:pStyle w:val="Normal"/>
        <w:ind w:right="-1" w:firstLine="709"/>
        <w:rPr/>
      </w:pPr>
      <w:r>
        <w:rPr/>
        <w:t xml:space="preserve">Система отопления для секции 8 запроектирована однотрубная вертикальная со смещенным замыкающим участком с верхней разводкой подающей магистрали. </w:t>
      </w:r>
    </w:p>
    <w:p>
      <w:pPr>
        <w:pStyle w:val="Normal"/>
        <w:ind w:right="-1" w:firstLine="709"/>
        <w:rPr/>
      </w:pPr>
      <w:r>
        <w:rPr/>
        <w:t>Для офисных помещений, расположенных на 1 этаже секции 8,запроектирована двухтрубная система отопления.</w:t>
      </w:r>
    </w:p>
    <w:p>
      <w:pPr>
        <w:pStyle w:val="Normal"/>
        <w:ind w:right="-1" w:firstLine="709"/>
        <w:rPr/>
      </w:pPr>
      <w:r>
        <w:rPr/>
        <w:t>В качестве отопительных приборов для жилых и офисных помещений, лестничных клеток приняты стальные конвекторы «Универсал ТБ» и «Универсал ТБ Мини» фирмы «Сантехпром» с автоматическими терморегуляторами. Для отопления кладовых уборочного инвентаря, машинных помещений используются регистры из гладких труб. Трубопроводы в машинных помещениях предусмотрены без разъемных соединений с выносом арматуры за пределы помещений. На лестничных клетках приборы (кроме 1 этажа) устанавливаются на отм. низа +2,200 от уровня чистого пола.</w:t>
      </w:r>
    </w:p>
    <w:p>
      <w:pPr>
        <w:pStyle w:val="Normal"/>
        <w:ind w:right="-1" w:firstLine="709"/>
        <w:rPr/>
      </w:pPr>
      <w:r>
        <w:rPr/>
        <w:t>Отопительные приборы устанавливаются у наружных ограждений и под световыми проемами. Длина отопительных приборов составляет не менее 50% длины оконного проема.</w:t>
      </w:r>
    </w:p>
    <w:p>
      <w:pPr>
        <w:pStyle w:val="Normal"/>
        <w:ind w:right="-1" w:firstLine="709"/>
        <w:rPr/>
      </w:pPr>
      <w:r>
        <w:rPr/>
        <w:t>Поквартирный учет тепла осуществляется с помощью индивидуальных счетчиков-распределителей Danfoss INDIV-5.</w:t>
      </w:r>
    </w:p>
    <w:p>
      <w:pPr>
        <w:pStyle w:val="Normal"/>
        <w:ind w:right="-1" w:firstLine="709"/>
        <w:rPr/>
      </w:pPr>
      <w:r>
        <w:rPr/>
        <w:t>Регулирование системы отопления в секциях 6, 7, 8 обеспечивается установкой на вертикальных стояках ручных балансировочных клапанов MSV-BD.</w:t>
      </w:r>
    </w:p>
    <w:p>
      <w:pPr>
        <w:pStyle w:val="Normal"/>
        <w:ind w:right="-1" w:firstLine="709"/>
        <w:rPr/>
      </w:pPr>
      <w:r>
        <w:rPr/>
        <w:t>В качестве запорной арматуры приняты шаровые краны.</w:t>
      </w:r>
    </w:p>
    <w:p>
      <w:pPr>
        <w:pStyle w:val="Normal"/>
        <w:ind w:right="-1" w:firstLine="709"/>
        <w:rPr/>
      </w:pPr>
      <w:r>
        <w:rPr/>
        <w:t>Спуск воды из системы отопления запроектирован в дренажный приямок в ИТП. Трубопроводы прокладываются с уклоном не менее 0,002.</w:t>
      </w:r>
    </w:p>
    <w:p>
      <w:pPr>
        <w:pStyle w:val="Normal"/>
        <w:ind w:right="-1" w:firstLine="709"/>
        <w:rPr/>
      </w:pPr>
      <w:r>
        <w:rPr/>
        <w:t>Транзитные трубопроводы, прокладываемые через помещения электрощитовых, выполнены без разъемных соединений в защитном кожухе.</w:t>
      </w:r>
    </w:p>
    <w:p>
      <w:pPr>
        <w:pStyle w:val="Normal"/>
        <w:ind w:right="-1" w:firstLine="709"/>
        <w:rPr/>
      </w:pPr>
      <w:r>
        <w:rPr/>
        <w:t>Трубопроводы системы отопления предусмотрены из стальных водогазопроводных обыкновенных труб (диаметр &lt;=50мм) по ГОСТ 3262 -75* и из электросварных труб (диаметр &gt;50 мм) по ГОСТ 10704-91. Изоляция трубопроводов диаметром &lt;=50мм предусмотрена трубками K-Flex б=13мм, трубопроводов диаметром &gt;50мм трубками K-Flex б=19мм. Примененная в проекте изоляция сертифицирована и соответствует требованиям СП 61.13330.2012 «Тепловая изоляция оборудования и трубопроводов». Под изоляцию трубопроводы окрашиваются эмалью БТ-177 за два раза по грунту ГФ-021.</w:t>
      </w:r>
    </w:p>
    <w:p>
      <w:pPr>
        <w:pStyle w:val="Normal"/>
        <w:ind w:right="-1" w:firstLine="709"/>
        <w:rPr/>
      </w:pPr>
      <w:r>
        <w:rPr/>
        <w:t>Для компенсации линейных тепловых удлинений предусмотрена установка сильфонных компенсаторов на вертикальных стояках.</w:t>
      </w:r>
    </w:p>
    <w:p>
      <w:pPr>
        <w:pStyle w:val="Normal"/>
        <w:ind w:right="-1" w:firstLine="709"/>
        <w:rPr/>
      </w:pPr>
      <w:r>
        <w:rPr/>
        <w:t>Выпуск воздуха из проектируемых систем отопления и теплоснабжения в секциях 6, 7 осуществляется с помощью кранов Маевского, в секции 8 - горизонтальных проточных воздухосборников.</w:t>
      </w:r>
    </w:p>
    <w:p>
      <w:pPr>
        <w:pStyle w:val="Normal"/>
        <w:ind w:right="-1" w:firstLine="709"/>
        <w:rPr/>
      </w:pPr>
      <w:r>
        <w:rPr/>
        <w:t xml:space="preserve">Трубопроводы в местах пересечения стен и перекрытий прокладываются  в гильзах из негорючих материалов с заделкой отверстий и зазоров негорючими материалами, обеспечивающими нормируемый предел огнестойкости ограждения. </w:t>
      </w:r>
    </w:p>
    <w:p>
      <w:pPr>
        <w:pStyle w:val="Normal"/>
        <w:ind w:right="-1" w:firstLine="709"/>
        <w:rPr/>
      </w:pPr>
      <w:r>
        <w:rPr/>
        <w:t>При разработке проекта учтены меры по предотвращению ожогов, травм и несчастных случаев:</w:t>
      </w:r>
    </w:p>
    <w:p>
      <w:pPr>
        <w:pStyle w:val="Normal"/>
        <w:ind w:right="-1" w:firstLine="709"/>
        <w:rPr/>
      </w:pPr>
      <w:r>
        <w:rPr/>
        <w:t>- выполнена изоляция трубопроводов систем отопления. Температура поверхности тепловой изоляции не превышает 40 °С;</w:t>
      </w:r>
    </w:p>
    <w:p>
      <w:pPr>
        <w:pStyle w:val="Normal"/>
        <w:ind w:right="-1" w:firstLine="709"/>
        <w:rPr/>
      </w:pPr>
      <w:r>
        <w:rPr/>
        <w:t>- температура поверхности отопительных приборов не превышает 70 ºС.</w:t>
      </w:r>
    </w:p>
    <w:p>
      <w:pPr>
        <w:pStyle w:val="Normal"/>
        <w:ind w:right="-1" w:firstLine="709"/>
        <w:rPr/>
      </w:pPr>
      <w:r>
        <w:rPr>
          <w:b/>
          <w:color w:val="000000"/>
          <w:u w:val="single"/>
          <w:lang w:eastAsia="en-US"/>
        </w:rPr>
        <w:t>Вентиляция нежилых помещений (офисов</w:t>
      </w:r>
      <w:r>
        <w:rPr>
          <w:rFonts w:cs="Arial-BoldMT" w:ascii="Arial-BoldMT" w:hAnsi="Arial-BoldMT"/>
          <w:b/>
          <w:bCs/>
        </w:rPr>
        <w:t>).</w:t>
      </w:r>
      <w:r>
        <w:rPr>
          <w:rFonts w:cs="Arial-BoldMT" w:ascii="Arial-BoldMT" w:hAnsi="Arial-BoldMT"/>
          <w:bCs/>
        </w:rPr>
        <w:t xml:space="preserve"> </w:t>
      </w:r>
      <w:r>
        <w:rPr/>
        <w:t>Проектной документацией предусматривается устройство приточно-вытяжной вентиляции офисных помещений с механическим и естественным побуждением воздуха. Расчет воздухообмена офисных помещений выполнен в соответствии с СП 60.13330.2012 и составляет 20 м</w:t>
      </w:r>
      <w:r>
        <w:rPr>
          <w:vertAlign w:val="superscript"/>
        </w:rPr>
        <w:t>3</w:t>
      </w:r>
      <w:r>
        <w:rPr/>
        <w:t>/ч на 1 человека, временно пребывающего в помещении, постоянно пребывающего — 60 м</w:t>
      </w:r>
      <w:r>
        <w:rPr>
          <w:vertAlign w:val="superscript"/>
        </w:rPr>
        <w:t>3</w:t>
      </w:r>
      <w:r>
        <w:rPr/>
        <w:t xml:space="preserve">/ч. Приток воздуха в офисные помещения осуществляется неорганизованно через открывающиеся фрамуги окон. Фрамуги оборудованы створками с поворотно-откидным регулированием. </w:t>
      </w:r>
    </w:p>
    <w:p>
      <w:pPr>
        <w:pStyle w:val="Normal"/>
        <w:ind w:right="-1" w:firstLine="709"/>
        <w:rPr>
          <w:b/>
          <w:b/>
          <w:color w:val="000000"/>
          <w:u w:val="single"/>
          <w:lang w:eastAsia="en-US"/>
        </w:rPr>
      </w:pPr>
      <w:r>
        <w:rPr/>
        <w:t xml:space="preserve">Вытяжка из помещений санитарных узлов предусмотрена с механическим побуждением, с выбросом воздуха выше уровня кровли на 1м. </w:t>
      </w:r>
    </w:p>
    <w:p>
      <w:pPr>
        <w:pStyle w:val="Normal"/>
        <w:widowControl/>
        <w:ind w:right="-1" w:firstLine="709"/>
        <w:rPr>
          <w:rFonts w:eastAsia="ArialMT"/>
        </w:rPr>
      </w:pPr>
      <w:r>
        <w:rPr>
          <w:b/>
          <w:color w:val="000000"/>
          <w:u w:val="single"/>
          <w:lang w:eastAsia="en-US"/>
        </w:rPr>
        <w:t xml:space="preserve">Вентиляция жилых помещений. </w:t>
      </w:r>
      <w:r>
        <w:rPr>
          <w:rFonts w:eastAsia="ArialMT"/>
        </w:rPr>
        <w:t>Проектной документацией предусматривается устройство приточно-вытяжной вентиляции помещений квартир и офисов с естественным побуждением воздуха, кроме кухонь и санузлов на 9 этаже секций 6, 7 и 16 этаже 8 секции. Из кухонь и санузлов 9 этажа секций 6 и 7 и 16-го этажа 8 секции предусмотрена механическая вытяжная вентиляция.</w:t>
      </w:r>
    </w:p>
    <w:p>
      <w:pPr>
        <w:pStyle w:val="Normal"/>
        <w:widowControl/>
        <w:ind w:right="-1" w:firstLine="709"/>
        <w:rPr>
          <w:rFonts w:eastAsia="ArialMT"/>
        </w:rPr>
      </w:pPr>
      <w:r>
        <w:rPr>
          <w:rFonts w:eastAsia="ArialMT"/>
        </w:rPr>
        <w:t>Расчет воздухообмена жилых квартир выполнен в соответствии с табл.9.1, СП 54.13330.2011 и составляет 3 м</w:t>
      </w:r>
      <w:r>
        <w:rPr>
          <w:rFonts w:eastAsia="ArialMT"/>
          <w:vertAlign w:val="superscript"/>
        </w:rPr>
        <w:t>3</w:t>
      </w:r>
      <w:r>
        <w:rPr>
          <w:rFonts w:eastAsia="ArialMT"/>
        </w:rPr>
        <w:t>/ч на 1 м</w:t>
      </w:r>
      <w:r>
        <w:rPr>
          <w:rFonts w:eastAsia="ArialMT"/>
          <w:vertAlign w:val="superscript"/>
        </w:rPr>
        <w:t>2</w:t>
      </w:r>
      <w:r>
        <w:rPr>
          <w:rFonts w:eastAsia="ArialMT"/>
          <w:sz w:val="14"/>
          <w:szCs w:val="14"/>
        </w:rPr>
        <w:t xml:space="preserve"> </w:t>
      </w:r>
      <w:r>
        <w:rPr>
          <w:rFonts w:eastAsia="ArialMT"/>
        </w:rPr>
        <w:t xml:space="preserve">жилой площади. Приток воздуха в квартиры и офисы осуществляется инфильтрацией воздуха через открываемые окна, вытяжка - посредством вытяжных каналов в строительных конструкциях помещений санитарных узлов, ванных комнат и кухонь с выбросом воздуха в «теплый чердак» и последующим его удалением через общие вытяжные шахты, выведенные выше уровня кровли. Для каждого герметически не сообщающегося объема теплого чердака устраиваются самостоятельные вытяжные шахты. </w:t>
      </w:r>
      <w:r>
        <w:rPr/>
        <w:t>Расход воздуха, удаляемого из объема теплого чердака, принят на 30% больше нормативного, удаляемого из жилых помещений.</w:t>
      </w:r>
    </w:p>
    <w:p>
      <w:pPr>
        <w:pStyle w:val="Normal"/>
        <w:widowControl/>
        <w:ind w:right="-1" w:firstLine="709"/>
        <w:rPr>
          <w:rFonts w:eastAsia="ArialMT"/>
        </w:rPr>
      </w:pPr>
      <w:r>
        <w:rPr>
          <w:rFonts w:eastAsia="ArialMT"/>
        </w:rPr>
        <w:t>На входе в вентиляционные каналы устанавливаются регулируемые решетки.</w:t>
      </w:r>
    </w:p>
    <w:p>
      <w:pPr>
        <w:pStyle w:val="Normal"/>
        <w:widowControl/>
        <w:ind w:right="-1" w:firstLine="709"/>
        <w:rPr>
          <w:rFonts w:eastAsia="ArialMT"/>
        </w:rPr>
      </w:pPr>
      <w:r>
        <w:rPr>
          <w:rFonts w:eastAsia="ArialMT"/>
        </w:rPr>
        <w:t>Вытяжная вентиляция мусорокамеры естественная, осуществляется через ствол мусоропровода.</w:t>
      </w:r>
    </w:p>
    <w:p>
      <w:pPr>
        <w:pStyle w:val="Normal"/>
        <w:widowControl/>
        <w:ind w:right="-1" w:firstLine="709"/>
        <w:rPr>
          <w:rFonts w:eastAsia="ArialMT"/>
        </w:rPr>
      </w:pPr>
      <w:r>
        <w:rPr>
          <w:rFonts w:eastAsia="ArialMT"/>
        </w:rPr>
        <w:t>В ИТП, электрощитовых, машинных помещениях лифтов, водомерном узле предусматривается вытяжная вентиляция с механическим побуждением.</w:t>
      </w:r>
    </w:p>
    <w:p>
      <w:pPr>
        <w:pStyle w:val="Normal"/>
        <w:widowControl/>
        <w:ind w:right="-1" w:firstLine="709"/>
        <w:rPr>
          <w:rFonts w:eastAsia="ArialMT"/>
        </w:rPr>
      </w:pPr>
      <w:r>
        <w:rPr>
          <w:rFonts w:eastAsia="ArialMT"/>
        </w:rPr>
        <w:t>Для вентиляции технического подполья в наружных стенах предусмотрены продухи площадью 0,05 м</w:t>
      </w:r>
      <w:r>
        <w:rPr>
          <w:rFonts w:eastAsia="ArialMT"/>
          <w:sz w:val="14"/>
          <w:szCs w:val="14"/>
        </w:rPr>
        <w:t xml:space="preserve">2 </w:t>
      </w:r>
      <w:r>
        <w:rPr>
          <w:rFonts w:eastAsia="ArialMT"/>
        </w:rPr>
        <w:t>каждый. В качестве дополнительных продухов частью АР предусматриваются отверстия в дверях выхода из техподполья.</w:t>
      </w:r>
    </w:p>
    <w:p>
      <w:pPr>
        <w:pStyle w:val="Normal"/>
        <w:ind w:right="-1" w:firstLine="709"/>
        <w:rPr>
          <w:rFonts w:eastAsia="Times New Roman"/>
          <w:bCs/>
          <w:iCs/>
        </w:rPr>
      </w:pPr>
      <w:r>
        <w:rPr>
          <w:b/>
          <w:color w:val="000000"/>
          <w:u w:val="single"/>
          <w:lang w:eastAsia="en-US"/>
        </w:rPr>
        <w:t>Дымоудаление.</w:t>
      </w:r>
      <w:r>
        <w:rPr>
          <w:color w:val="000000"/>
          <w:lang w:eastAsia="en-US"/>
        </w:rPr>
        <w:t xml:space="preserve"> </w:t>
      </w:r>
      <w:r>
        <w:rPr>
          <w:rFonts w:eastAsia="Times New Roman"/>
          <w:bCs/>
          <w:iCs/>
        </w:rPr>
        <w:t>Проект разработан в соответствии с действующими нормами по пожаро- и взрывобезопасности. Предусматриваются следующие мероприятия, обеспечивающие незадымляемость защищаемых объектов здания и удаление продуктов горения:</w:t>
      </w:r>
    </w:p>
    <w:p>
      <w:pPr>
        <w:pStyle w:val="Normal"/>
        <w:widowControl/>
        <w:ind w:right="-1" w:firstLine="709"/>
        <w:rPr>
          <w:rFonts w:eastAsia="ArialMT"/>
        </w:rPr>
      </w:pPr>
      <w:r>
        <w:rPr>
          <w:rFonts w:eastAsia="ArialMT"/>
        </w:rPr>
        <w:t xml:space="preserve">-вытяжная противодымная вентиляция из коридоров, </w:t>
      </w:r>
    </w:p>
    <w:p>
      <w:pPr>
        <w:pStyle w:val="Normal"/>
        <w:widowControl/>
        <w:ind w:right="-1" w:firstLine="709"/>
        <w:rPr>
          <w:rFonts w:eastAsia="ArialMT"/>
        </w:rPr>
      </w:pPr>
      <w:r>
        <w:rPr>
          <w:rFonts w:eastAsia="ArialMT"/>
        </w:rPr>
        <w:t xml:space="preserve">-приточная противодымная вентиляция в лифтовые шахты, </w:t>
      </w:r>
    </w:p>
    <w:p>
      <w:pPr>
        <w:pStyle w:val="Normal"/>
        <w:ind w:right="-1" w:firstLine="709"/>
        <w:rPr>
          <w:rFonts w:eastAsia="ArialMT"/>
        </w:rPr>
      </w:pPr>
      <w:r>
        <w:rPr>
          <w:rFonts w:eastAsia="Times New Roman"/>
          <w:bCs/>
          <w:iCs/>
        </w:rPr>
        <w:t xml:space="preserve">-подпор воздуха в лифтовые шахты с функцией перевозки пожарных подразделений; </w:t>
      </w:r>
    </w:p>
    <w:p>
      <w:pPr>
        <w:pStyle w:val="Normal"/>
        <w:widowControl/>
        <w:ind w:right="-1" w:firstLine="709"/>
        <w:rPr>
          <w:rFonts w:eastAsia="ArialMT"/>
        </w:rPr>
      </w:pPr>
      <w:r>
        <w:rPr>
          <w:rFonts w:eastAsia="ArialMT"/>
        </w:rPr>
        <w:t xml:space="preserve">-приточная противодымная вентиляция в лестничную клетку, </w:t>
      </w:r>
    </w:p>
    <w:p>
      <w:pPr>
        <w:pStyle w:val="Normal"/>
        <w:widowControl/>
        <w:ind w:right="-1" w:firstLine="709"/>
        <w:rPr>
          <w:rFonts w:eastAsia="ArialMT"/>
        </w:rPr>
      </w:pPr>
      <w:r>
        <w:rPr>
          <w:rFonts w:eastAsia="ArialMT"/>
        </w:rPr>
        <w:t>-подача приточного воздуха в помещения безопасных зон,</w:t>
      </w:r>
    </w:p>
    <w:p>
      <w:pPr>
        <w:pStyle w:val="Normal"/>
        <w:widowControl/>
        <w:ind w:right="-1" w:firstLine="709"/>
        <w:rPr>
          <w:rFonts w:eastAsia="ArialMT"/>
        </w:rPr>
      </w:pPr>
      <w:r>
        <w:rPr>
          <w:rFonts w:eastAsia="ArialMT"/>
        </w:rPr>
        <w:t>-компенсирующая подача воздуха в нижние части коридоров.</w:t>
      </w:r>
    </w:p>
    <w:p>
      <w:pPr>
        <w:pStyle w:val="Normal"/>
        <w:widowControl/>
        <w:ind w:right="-1" w:firstLine="709"/>
        <w:rPr>
          <w:rFonts w:eastAsia="Times New Roman"/>
          <w:bCs/>
          <w:iCs/>
        </w:rPr>
      </w:pPr>
      <w:r>
        <w:rPr>
          <w:rFonts w:eastAsia="ArialMT"/>
        </w:rPr>
        <w:t>Противодымная вентиляция обеспечивается системами с механическим побуждением, для которых приняты вентагрегаты фирмы «ВЕЗА». Вентагрегаты имеют сертификат соответствия пожарной безопасности.</w:t>
      </w:r>
      <w:r>
        <w:rPr>
          <w:rFonts w:eastAsia="Times New Roman"/>
          <w:bCs/>
          <w:iCs/>
        </w:rPr>
        <w:t xml:space="preserve"> </w:t>
      </w:r>
    </w:p>
    <w:p>
      <w:pPr>
        <w:pStyle w:val="Normal"/>
        <w:widowControl/>
        <w:ind w:right="-1" w:firstLine="709"/>
        <w:rPr>
          <w:rFonts w:eastAsia="ArialMT"/>
        </w:rPr>
      </w:pPr>
      <w:r>
        <w:rPr>
          <w:rFonts w:eastAsia="Times New Roman"/>
          <w:bCs/>
          <w:iCs/>
        </w:rPr>
        <w:t xml:space="preserve">Для систем вытяжной противодымной вентиляции предусматриваются вентиляторы специального исполнения, сохраняющие свою работоспособность транспортирования газовоздушной среды с температурой 400 ºC в течение 120 минут. </w:t>
      </w:r>
      <w:r>
        <w:rPr>
          <w:rFonts w:eastAsia="ArialMT"/>
        </w:rPr>
        <w:t>Выброс продуктов горения от вытяжных систем ДУ1-ДУ3 осуществляется вертикально вверх, вентагрегаты устанавливаются на кровле.</w:t>
      </w:r>
    </w:p>
    <w:p>
      <w:pPr>
        <w:pStyle w:val="Normal"/>
        <w:ind w:right="-1" w:firstLine="709"/>
        <w:rPr>
          <w:rFonts w:eastAsia="Times New Roman"/>
        </w:rPr>
      </w:pPr>
      <w:r>
        <w:rPr>
          <w:rFonts w:eastAsia="Times New Roman"/>
        </w:rPr>
        <w:t>В пожаробезопасные зоны предусмотрена система подачи воздуха с двумя режимами работы. Один режим обеспечивает подачу наружного воздуха в ПБЗ в количестве достаточном для его истечения через открытую дверь (в период эвакуации людей в помещение ПБЗ). Второй предназначен для подачи дополнительно нагретого до температуры +18</w:t>
      </w:r>
      <w:r>
        <w:rPr>
          <w:rFonts w:eastAsia="Times New Roman" w:cs="Cambria Math" w:ascii="Cambria Math" w:hAnsi="Cambria Math"/>
        </w:rPr>
        <w:t>℃</w:t>
      </w:r>
      <w:r>
        <w:rPr>
          <w:rFonts w:eastAsia="Times New Roman"/>
        </w:rPr>
        <w:t xml:space="preserve"> наружного воздуха в ПБЗ при закрытых дверях (в период с момента завершения эвакуации людей в помещение зоны безопасности и в течение времени их пребывания в этом помещении до начала спасательных работ пожарными подразделениями). Для этой системы предусмотрен вентилятор с частотным регулированием.</w:t>
      </w:r>
    </w:p>
    <w:p>
      <w:pPr>
        <w:pStyle w:val="Normal"/>
        <w:ind w:right="-1" w:firstLine="709"/>
        <w:rPr>
          <w:rFonts w:eastAsia="ArialMT"/>
        </w:rPr>
      </w:pPr>
      <w:r>
        <w:rPr>
          <w:rFonts w:eastAsia="Times New Roman"/>
          <w:bCs/>
          <w:iCs/>
        </w:rPr>
        <w:t>Подача воздуха в лифтовые шахты с функцией перевозки пожарных подразделений осуществляется самостоятельными системами.</w:t>
      </w:r>
      <w:r>
        <w:rPr>
          <w:rFonts w:eastAsia="ArialMT"/>
        </w:rPr>
        <w:t xml:space="preserve"> работы с частотным регулированием</w:t>
      </w:r>
    </w:p>
    <w:p>
      <w:pPr>
        <w:pStyle w:val="Normal"/>
        <w:ind w:right="-1" w:firstLine="709"/>
        <w:rPr>
          <w:rFonts w:eastAsia="ArialMT"/>
        </w:rPr>
      </w:pPr>
      <w:r>
        <w:rPr>
          <w:rFonts w:eastAsia="ArialMT"/>
        </w:rPr>
        <w:t xml:space="preserve">Воздуховоды приняты из оцинкованной стали по ГОСТ 14918-80*. Воздуховоды вентсистем приняты класса А, для систем ДУ - плотными класса В толщиной не менее 0,8мм. </w:t>
      </w:r>
    </w:p>
    <w:p>
      <w:pPr>
        <w:pStyle w:val="Normal"/>
        <w:widowControl/>
        <w:ind w:right="-1" w:firstLine="709"/>
        <w:rPr>
          <w:rFonts w:eastAsia="ArialMT"/>
        </w:rPr>
      </w:pPr>
      <w:r>
        <w:rPr>
          <w:rFonts w:eastAsia="ArialMT"/>
        </w:rPr>
        <w:t>Для компенсации тепловых удлинений воздуховодов систем дымоудаления в секции 8 предусматривается установка мягкого соединителя СОМ-560 фирмы «ВЕЗА» через каждые 3 этажа.</w:t>
      </w:r>
    </w:p>
    <w:p>
      <w:pPr>
        <w:pStyle w:val="Normal"/>
        <w:widowControl/>
        <w:ind w:right="-1" w:firstLine="709"/>
        <w:rPr>
          <w:rFonts w:eastAsia="ArialMT"/>
        </w:rPr>
      </w:pPr>
      <w:r>
        <w:rPr>
          <w:rFonts w:eastAsia="ArialMT"/>
        </w:rPr>
        <w:t>Транзитные воздуховоды противодымных систем, прокладываемые в чердаке, предусмотрены с пределом огнестойкости EI30 и EI120 в соответствии с п.7.1.7(б) СП 7.13130.2013. Предел огнестойкости обеспечивается огнезащитной системой ”ET Vent”.</w:t>
      </w:r>
    </w:p>
    <w:p>
      <w:pPr>
        <w:pStyle w:val="Normal"/>
        <w:widowControl/>
        <w:ind w:right="-1" w:firstLine="709"/>
        <w:rPr>
          <w:rFonts w:eastAsia="ArialMT"/>
        </w:rPr>
      </w:pPr>
      <w:r>
        <w:rPr>
          <w:rFonts w:eastAsia="ArialMT"/>
        </w:rPr>
        <w:t>На системах противодымной вентиляции устанавливаются «нормально закрытые» и дымовые противопожарные клапаны с реверсивным электроприводом.</w:t>
      </w:r>
    </w:p>
    <w:p>
      <w:pPr>
        <w:pStyle w:val="Normal"/>
        <w:widowControl/>
        <w:ind w:right="-1" w:firstLine="709"/>
        <w:rPr>
          <w:rFonts w:eastAsia="ArialMT"/>
        </w:rPr>
      </w:pPr>
      <w:r>
        <w:rPr>
          <w:rFonts w:eastAsia="ArialMT"/>
        </w:rPr>
        <w:t>Противопожарные клапаны приняты фирмы «ВЕЗА» и имеют автоматическое, дистанционное и ручное управление. Все клапаны сертифицированы. Предел огнестойкости противопожарных клапанов, предусмотренных проектной документацией: КПУ-1Н — ЕI90, КПУ-2Н — EI120, Гермик-ДУ — Е90.</w:t>
      </w:r>
    </w:p>
    <w:p>
      <w:pPr>
        <w:pStyle w:val="Normal"/>
        <w:widowControl/>
        <w:ind w:right="-1" w:firstLine="709"/>
        <w:rPr>
          <w:color w:val="000000"/>
          <w:lang w:eastAsia="en-US"/>
        </w:rPr>
      </w:pPr>
      <w:r>
        <w:rPr>
          <w:color w:val="000000"/>
          <w:lang w:eastAsia="en-US"/>
        </w:rPr>
      </w:r>
    </w:p>
    <w:p>
      <w:pPr>
        <w:pStyle w:val="Normal"/>
        <w:widowControl/>
        <w:ind w:right="-1" w:firstLine="709"/>
        <w:rPr>
          <w:rFonts w:eastAsia="ArialMT"/>
        </w:rPr>
      </w:pPr>
      <w:r>
        <w:rPr>
          <w:b/>
          <w:color w:val="000000"/>
          <w:u w:val="single"/>
          <w:lang w:eastAsia="en-US"/>
        </w:rPr>
        <w:t>Автоматизация и диспетчеризация процесса регулирования отопления, вентиляции.</w:t>
      </w:r>
      <w:r>
        <w:rPr>
          <w:color w:val="000000"/>
          <w:lang w:eastAsia="en-US"/>
        </w:rPr>
        <w:t xml:space="preserve"> </w:t>
      </w:r>
      <w:r>
        <w:rPr>
          <w:rFonts w:eastAsia="ArialMT"/>
        </w:rPr>
        <w:t>Для вентиляционных вытяжных систем проектом предусматривается:</w:t>
      </w:r>
    </w:p>
    <w:p>
      <w:pPr>
        <w:pStyle w:val="Normal"/>
        <w:widowControl/>
        <w:ind w:right="-1" w:firstLine="709"/>
        <w:rPr>
          <w:rFonts w:eastAsia="ArialMT"/>
        </w:rPr>
      </w:pPr>
      <w:r>
        <w:rPr>
          <w:rFonts w:eastAsia="ArialMT"/>
        </w:rPr>
        <w:t>-местное управление;</w:t>
      </w:r>
    </w:p>
    <w:p>
      <w:pPr>
        <w:pStyle w:val="Normal"/>
        <w:widowControl/>
        <w:ind w:right="-1" w:firstLine="709"/>
        <w:rPr>
          <w:rFonts w:eastAsia="ArialMT"/>
        </w:rPr>
      </w:pPr>
      <w:r>
        <w:rPr>
          <w:rFonts w:eastAsia="ArialMT"/>
        </w:rPr>
        <w:t>-регулирование расхода воздуха;</w:t>
      </w:r>
    </w:p>
    <w:p>
      <w:pPr>
        <w:pStyle w:val="Normal"/>
        <w:widowControl/>
        <w:ind w:right="-1" w:firstLine="709"/>
        <w:rPr>
          <w:rFonts w:eastAsia="ArialMT"/>
        </w:rPr>
      </w:pPr>
      <w:r>
        <w:rPr>
          <w:rFonts w:eastAsia="ArialMT"/>
        </w:rPr>
        <w:t>-дистанционное управление из обслуживаемых помещений.</w:t>
      </w:r>
    </w:p>
    <w:p>
      <w:pPr>
        <w:pStyle w:val="Normal"/>
        <w:widowControl/>
        <w:ind w:right="-1" w:firstLine="709"/>
        <w:rPr>
          <w:rFonts w:eastAsia="ArialMT"/>
        </w:rPr>
      </w:pPr>
      <w:r>
        <w:rPr>
          <w:rFonts w:eastAsia="ArialMT"/>
        </w:rPr>
        <w:t>Для систем противодымной вентиляции предусматривается установка шкафов управления и частотных преобразователей для систем подпора в лестничную клетку и зоны безопасности. В зонах безопасности и лестничной клетке устанавливаются датчики перепада давления для поддержания перепада давления на дверях эвакуации в пределах от 20 до 150 Па. Управление системами местное, дистанционное, автоматическое.</w:t>
      </w:r>
    </w:p>
    <w:p>
      <w:pPr>
        <w:pStyle w:val="Normal"/>
        <w:widowControl/>
        <w:ind w:right="-1" w:firstLine="709"/>
        <w:rPr>
          <w:rFonts w:eastAsia="ArialMT"/>
        </w:rPr>
      </w:pPr>
      <w:r>
        <w:rPr>
          <w:rFonts w:eastAsia="ArialMT"/>
        </w:rPr>
        <w:t>Регулирование тепловой мощности систем водяного отопления предусмотрено в узле управления. Теплоотдача отопительных приборов регулируется радиаторным термостатическим вентилем.</w:t>
      </w:r>
    </w:p>
    <w:p>
      <w:pPr>
        <w:pStyle w:val="Normal"/>
        <w:widowControl/>
        <w:ind w:right="-1" w:firstLine="709"/>
        <w:rPr>
          <w:rFonts w:eastAsia="ArialMT"/>
        </w:rPr>
      </w:pPr>
      <w:r>
        <w:rPr>
          <w:rFonts w:eastAsia="ArialMT"/>
        </w:rPr>
      </w:r>
    </w:p>
    <w:p>
      <w:pPr>
        <w:pStyle w:val="Normal"/>
        <w:widowControl/>
        <w:ind w:right="-1" w:firstLine="709"/>
        <w:rPr>
          <w:b/>
          <w:b/>
          <w:color w:val="000000" w:themeColor="text1"/>
          <w:highlight w:val="yellow"/>
        </w:rPr>
      </w:pPr>
      <w:r>
        <w:rPr>
          <w:b/>
          <w:color w:val="000000" w:themeColor="text1"/>
          <w:highlight w:val="yellow"/>
        </w:rPr>
      </w:r>
    </w:p>
    <w:p>
      <w:pPr>
        <w:pStyle w:val="Normal"/>
        <w:widowControl/>
        <w:ind w:right="-1" w:hanging="0"/>
        <w:rPr>
          <w:b/>
          <w:b/>
          <w:color w:val="000000" w:themeColor="text1"/>
          <w:highlight w:val="yellow"/>
        </w:rPr>
      </w:pPr>
      <w:r>
        <w:rPr>
          <w:b/>
          <w:color w:val="000000" w:themeColor="text1"/>
        </w:rPr>
        <w:t>3.2.4.5. Сети связи</w:t>
      </w:r>
    </w:p>
    <w:p>
      <w:pPr>
        <w:pStyle w:val="Normal"/>
        <w:widowControl/>
        <w:ind w:right="-1" w:firstLine="709"/>
        <w:rPr>
          <w:b/>
          <w:b/>
          <w:color w:val="000000" w:themeColor="text1"/>
          <w:highlight w:val="yellow"/>
        </w:rPr>
      </w:pPr>
      <w:r>
        <w:rPr>
          <w:b/>
          <w:color w:val="000000" w:themeColor="text1"/>
          <w:highlight w:val="yellow"/>
        </w:rPr>
      </w:r>
    </w:p>
    <w:p>
      <w:pPr>
        <w:pStyle w:val="Normal"/>
        <w:tabs>
          <w:tab w:val="left" w:pos="-567" w:leader="none"/>
          <w:tab w:val="left" w:pos="9498" w:leader="none"/>
          <w:tab w:val="left" w:pos="9639" w:leader="none"/>
        </w:tabs>
        <w:ind w:right="-1" w:firstLine="709"/>
        <w:rPr>
          <w:b/>
          <w:b/>
          <w:iCs/>
        </w:rPr>
      </w:pPr>
      <w:r>
        <w:rPr>
          <w:b/>
          <w:iCs/>
        </w:rPr>
        <w:t>Телефонизация и интернет</w:t>
      </w:r>
    </w:p>
    <w:p>
      <w:pPr>
        <w:pStyle w:val="Normal"/>
        <w:tabs>
          <w:tab w:val="left" w:pos="-567" w:leader="none"/>
          <w:tab w:val="left" w:pos="9498" w:leader="none"/>
          <w:tab w:val="left" w:pos="9639" w:leader="none"/>
        </w:tabs>
        <w:ind w:right="-1" w:firstLine="709"/>
        <w:rPr/>
      </w:pPr>
      <w:r>
        <w:rPr/>
        <w:t xml:space="preserve">Телефонизация жилого дома предусматривается от станционного оборудования внешнего телефонного ввода, предусматриваемого оператором связи. В подвале каждой секции установить шкафы 19" ШТКН-Р (узел доступа </w:t>
      </w:r>
      <w:r>
        <w:rPr>
          <w:lang w:val="en-US"/>
        </w:rPr>
        <w:t>FTTB</w:t>
      </w:r>
      <w:r>
        <w:rPr/>
        <w:t xml:space="preserve">).  Шкаф изготавливается в климатическом исполнении УХЛ, категория 4  по     ГОСТ 15150 и предназначен для эксплуатации в капитальных жилых     и   производственных помещениях при температуре от +5 до +40° С.     Степень защиты от влияния внешних факторов IP 20. </w:t>
      </w:r>
    </w:p>
    <w:p>
      <w:pPr>
        <w:pStyle w:val="Normal"/>
        <w:tabs>
          <w:tab w:val="left" w:pos="-567" w:leader="none"/>
          <w:tab w:val="left" w:pos="426" w:leader="none"/>
          <w:tab w:val="left" w:pos="9498" w:leader="none"/>
          <w:tab w:val="left" w:pos="9639" w:leader="none"/>
        </w:tabs>
        <w:ind w:right="-1" w:firstLine="709"/>
        <w:rPr/>
      </w:pPr>
      <w:r>
        <w:rPr/>
        <w:t>Шкаф имеет вандалозащищенное исполнение, усиленную конструкцию и замок стойкий к подбору комбинаций и механическим повреждениям</w:t>
      </w:r>
    </w:p>
    <w:p>
      <w:pPr>
        <w:pStyle w:val="Normal"/>
        <w:tabs>
          <w:tab w:val="left" w:pos="-567" w:leader="none"/>
          <w:tab w:val="left" w:pos="284" w:leader="none"/>
          <w:tab w:val="left" w:pos="9498" w:leader="none"/>
          <w:tab w:val="left" w:pos="9639" w:leader="none"/>
        </w:tabs>
        <w:ind w:right="-1" w:firstLine="709"/>
        <w:rPr/>
      </w:pPr>
      <w:r>
        <w:rPr/>
        <w:t>Предусматривается установка в телекоммуникационный шкаф 19" ШТКН необходимого кроссового оборудования и разварка оптического кабеля с проведением полного комплекса измерений, установка оборудования вторичного электропитания,  необслуживаемых аккумуляторных батарей, и телекоммуникационного оборудования для организации требуемого количества телефонов, точек доступа в сеть Интернет и телефонизации.</w:t>
      </w:r>
    </w:p>
    <w:p>
      <w:pPr>
        <w:pStyle w:val="Normal"/>
        <w:tabs>
          <w:tab w:val="left" w:pos="-567" w:leader="none"/>
          <w:tab w:val="left" w:pos="426" w:leader="none"/>
          <w:tab w:val="left" w:pos="8789" w:leader="none"/>
          <w:tab w:val="left" w:pos="9214" w:leader="none"/>
          <w:tab w:val="left" w:pos="9498" w:leader="none"/>
        </w:tabs>
        <w:ind w:right="-1" w:firstLine="709"/>
        <w:rPr>
          <w:b/>
          <w:b/>
        </w:rPr>
      </w:pPr>
      <w:r>
        <w:rPr>
          <w:b/>
        </w:rPr>
      </w:r>
    </w:p>
    <w:p>
      <w:pPr>
        <w:pStyle w:val="Normal"/>
        <w:tabs>
          <w:tab w:val="left" w:pos="-567" w:leader="none"/>
          <w:tab w:val="left" w:pos="426" w:leader="none"/>
          <w:tab w:val="left" w:pos="8789" w:leader="none"/>
          <w:tab w:val="left" w:pos="9214" w:leader="none"/>
          <w:tab w:val="left" w:pos="9498" w:leader="none"/>
        </w:tabs>
        <w:ind w:right="-1" w:firstLine="709"/>
        <w:rPr>
          <w:b/>
          <w:b/>
        </w:rPr>
      </w:pPr>
      <w:r>
        <w:rPr>
          <w:b/>
        </w:rPr>
        <w:t xml:space="preserve">Радиофикация </w:t>
      </w:r>
    </w:p>
    <w:p>
      <w:pPr>
        <w:pStyle w:val="Normal"/>
        <w:tabs>
          <w:tab w:val="left" w:pos="-567" w:leader="none"/>
          <w:tab w:val="left" w:pos="8789" w:leader="none"/>
          <w:tab w:val="left" w:pos="9214" w:leader="none"/>
          <w:tab w:val="left" w:pos="9498" w:leader="none"/>
        </w:tabs>
        <w:ind w:right="-1" w:firstLine="709"/>
        <w:rPr/>
      </w:pPr>
      <w:r>
        <w:rPr/>
        <w:t xml:space="preserve">Радиофикация жилого дома предусматривается от городской радиотрансляционной сети. В техническом подполье проектируемого жилого дома установить   трансформаторы ТАМУ-25.  От трансформаторов ТАМУ выполнить радиотрансляционную сеть по дому проводами марки ПВЖ-1,8 и  ПТППЖ 2х1,2. </w:t>
      </w:r>
    </w:p>
    <w:p>
      <w:pPr>
        <w:pStyle w:val="Normal"/>
        <w:tabs>
          <w:tab w:val="left" w:pos="-567" w:leader="none"/>
          <w:tab w:val="left" w:pos="8789" w:leader="none"/>
          <w:tab w:val="left" w:pos="9214" w:leader="none"/>
          <w:tab w:val="left" w:pos="9498" w:leader="none"/>
        </w:tabs>
        <w:ind w:right="-1" w:firstLine="709"/>
        <w:rPr/>
      </w:pPr>
      <w:r>
        <w:rPr/>
        <w:t xml:space="preserve">В подвале проложить кабель ПРППМ2х1,2  в металлорукаве. Провод ПВЖ-1,8 проложить скрытым способом в вертикальных стояках слаботочных устройств.  Провод ПТПЖ в ПВХ трубах 25мм до квартир. </w:t>
      </w:r>
    </w:p>
    <w:p>
      <w:pPr>
        <w:pStyle w:val="Normal"/>
        <w:tabs>
          <w:tab w:val="left" w:pos="-567" w:leader="none"/>
          <w:tab w:val="left" w:pos="8789" w:leader="none"/>
          <w:tab w:val="left" w:pos="9214" w:leader="none"/>
        </w:tabs>
        <w:ind w:right="-1" w:firstLine="709"/>
        <w:rPr/>
      </w:pPr>
      <w:r>
        <w:rPr/>
        <w:t xml:space="preserve">Провод ПВЖ-1,8  радиотрансляционной сети прокладывается в отдельном стояке слаботочных устройств. В квартирах провод ПТПЖ проложить скрытым по плитам перекрытия в подготовке пола. Радиорозетки установить на высоте 50мм над плинтусом. Количество радиорозеток в квартирах предусмотрено в соответствии  СП133 .13330.2012. </w:t>
      </w:r>
    </w:p>
    <w:p>
      <w:pPr>
        <w:pStyle w:val="Normal"/>
        <w:tabs>
          <w:tab w:val="left" w:pos="-567" w:leader="none"/>
          <w:tab w:val="left" w:pos="284" w:leader="none"/>
          <w:tab w:val="left" w:pos="8789" w:leader="none"/>
          <w:tab w:val="left" w:pos="9214" w:leader="none"/>
        </w:tabs>
        <w:ind w:right="-1" w:firstLine="709"/>
        <w:rPr>
          <w:b/>
          <w:b/>
          <w:iCs/>
        </w:rPr>
      </w:pPr>
      <w:r>
        <w:rPr>
          <w:b/>
          <w:iCs/>
        </w:rPr>
      </w:r>
    </w:p>
    <w:p>
      <w:pPr>
        <w:pStyle w:val="Normal"/>
        <w:tabs>
          <w:tab w:val="left" w:pos="-567" w:leader="none"/>
          <w:tab w:val="left" w:pos="8789" w:leader="none"/>
          <w:tab w:val="left" w:pos="9214" w:leader="none"/>
        </w:tabs>
        <w:ind w:right="-1" w:firstLine="709"/>
        <w:rPr>
          <w:b/>
          <w:b/>
          <w:iCs/>
        </w:rPr>
      </w:pPr>
      <w:r>
        <w:rPr>
          <w:b/>
          <w:iCs/>
        </w:rPr>
        <w:t>Сеть коллективного приёма телевидения.</w:t>
      </w:r>
    </w:p>
    <w:p>
      <w:pPr>
        <w:pStyle w:val="Normal"/>
        <w:tabs>
          <w:tab w:val="left" w:pos="-567" w:leader="none"/>
        </w:tabs>
        <w:ind w:right="-1" w:firstLine="709"/>
        <w:rPr/>
      </w:pPr>
      <w:r>
        <w:rPr/>
        <w:t>Для оборудования жилого дома системой коллективного приема  телевидения на кровле 3-й секции предусматривается установка телеантенн  типа АТКГ2.21, 3.2,   АТКГ 4.1.6-12.1,     АТКГ 5.2.21-41.1.</w:t>
      </w:r>
    </w:p>
    <w:p>
      <w:pPr>
        <w:pStyle w:val="Normal"/>
        <w:tabs>
          <w:tab w:val="left" w:pos="-567" w:leader="none"/>
          <w:tab w:val="left" w:pos="284" w:leader="none"/>
          <w:tab w:val="left" w:pos="9774" w:leader="none"/>
        </w:tabs>
        <w:ind w:right="-1" w:firstLine="709"/>
        <w:rPr/>
      </w:pPr>
      <w:r>
        <w:rPr/>
        <w:t xml:space="preserve">Крепление мачты с телевизионными антеннами к стене машинного помещения лифтов выполнить кронштейнами КМС. Для защиты антенны от атмосферных разрядов предусматривается устройство токоотвода, соединяющего  антенну с контуром заземления молниеприемной сеткой. Токоотвод выполняется из оцинкованной стали диаметром 8мм. Все соединения токоотвода выполняются сваркой. В соответствии с требованием п.2.11 РД 34.21.122-87 – к заземляющему контуру должно быть проложено не менее двух токоотводов. </w:t>
      </w:r>
      <w:r>
        <w:rPr>
          <w:spacing w:val="18"/>
        </w:rPr>
        <w:t xml:space="preserve">   </w:t>
      </w:r>
      <w:r>
        <w:rPr/>
        <w:t xml:space="preserve">                                                              </w:t>
      </w:r>
    </w:p>
    <w:p>
      <w:pPr>
        <w:pStyle w:val="Normal"/>
        <w:tabs>
          <w:tab w:val="left" w:pos="-567" w:leader="none"/>
          <w:tab w:val="left" w:pos="284" w:leader="none"/>
          <w:tab w:val="left" w:pos="9774" w:leader="none"/>
        </w:tabs>
        <w:ind w:right="-1" w:firstLine="709"/>
        <w:rPr/>
      </w:pPr>
      <w:r>
        <w:rPr/>
        <w:t>Устройство молниезащиты предусмотрено электротехнической часть проекта. На чердаке в шкафах типа ЩМП-2-1 36 предусматривается установка телевизионных усилителей типа «Планар ВХ500» и  АЕ-215.</w:t>
      </w:r>
    </w:p>
    <w:p>
      <w:pPr>
        <w:pStyle w:val="Normal"/>
        <w:tabs>
          <w:tab w:val="left" w:pos="-567" w:leader="none"/>
          <w:tab w:val="left" w:pos="284" w:leader="none"/>
          <w:tab w:val="left" w:pos="9774" w:leader="none"/>
        </w:tabs>
        <w:ind w:right="-1" w:firstLine="709"/>
        <w:rPr/>
      </w:pPr>
      <w:r>
        <w:rPr/>
        <w:t xml:space="preserve">По чердакам проектируемых жилых домов проложить кабель SAT-50М. Между этажами в вертикальных каналах предусматривается прокладка кабеля SAT-703.  Прокладка кабелей телевидения предусматривается в трубах </w:t>
      </w:r>
      <w:r>
        <w:rPr>
          <w:lang w:val="en-US"/>
        </w:rPr>
        <w:t>DKC</w:t>
      </w:r>
      <w:r>
        <w:rPr/>
        <w:t xml:space="preserve"> не распространяющих горение. </w:t>
      </w:r>
    </w:p>
    <w:p>
      <w:pPr>
        <w:pStyle w:val="Normal"/>
        <w:tabs>
          <w:tab w:val="left" w:pos="-567" w:leader="none"/>
        </w:tabs>
        <w:ind w:right="-1" w:firstLine="709"/>
        <w:rPr/>
      </w:pPr>
      <w:r>
        <w:rPr/>
        <w:t xml:space="preserve">В поэтажных шкафах устанавливаются абонентские ответвители для подсоединения абонентских кабелей. </w:t>
      </w:r>
    </w:p>
    <w:p>
      <w:pPr>
        <w:pStyle w:val="Normal"/>
        <w:tabs>
          <w:tab w:val="left" w:pos="-567" w:leader="none"/>
        </w:tabs>
        <w:ind w:right="-1" w:firstLine="709"/>
        <w:rPr/>
      </w:pPr>
      <w:r>
        <w:rPr/>
        <w:t>Абонентские кабели телевидения прокладываются после окончания строительства дома по заявкам жильцов. Вертикальная прокладка кабелей выполнена скрыто в винипластовых трубах диаметром 63 мм.</w:t>
      </w:r>
    </w:p>
    <w:p>
      <w:pPr>
        <w:pStyle w:val="Normal"/>
        <w:tabs>
          <w:tab w:val="left" w:pos="-567" w:leader="none"/>
        </w:tabs>
        <w:ind w:right="-1" w:firstLine="709"/>
        <w:rPr/>
      </w:pPr>
      <w:r>
        <w:rPr/>
        <w:t>Уровни напряжения телевизионных сигналов на оконечных приборах абонентских линий предусмотрены в пределах в соответствии с требованием ГОСТ Р 52023-2003.</w:t>
      </w:r>
      <w:r>
        <w:rPr>
          <w:b/>
          <w:spacing w:val="18"/>
        </w:rPr>
        <w:t xml:space="preserve">     </w:t>
      </w:r>
    </w:p>
    <w:p>
      <w:pPr>
        <w:pStyle w:val="Normal"/>
        <w:tabs>
          <w:tab w:val="left" w:pos="-567" w:leader="none"/>
        </w:tabs>
        <w:ind w:right="-1" w:firstLine="709"/>
        <w:rPr/>
      </w:pPr>
      <w:r>
        <w:rPr>
          <w:b/>
          <w:spacing w:val="18"/>
        </w:rPr>
        <w:t xml:space="preserve">                                                              </w:t>
      </w:r>
      <w:r>
        <w:rPr/>
        <w:t xml:space="preserve">   </w:t>
      </w:r>
    </w:p>
    <w:p>
      <w:pPr>
        <w:pStyle w:val="Normal"/>
        <w:tabs>
          <w:tab w:val="left" w:pos="-567" w:leader="none"/>
        </w:tabs>
        <w:ind w:right="-1" w:firstLine="709"/>
        <w:rPr>
          <w:b/>
          <w:b/>
          <w:iCs/>
        </w:rPr>
      </w:pPr>
      <w:r>
        <w:rPr>
          <w:b/>
          <w:iCs/>
        </w:rPr>
        <w:t>Система контроля доступа (домофон)</w:t>
      </w:r>
    </w:p>
    <w:p>
      <w:pPr>
        <w:pStyle w:val="Normal"/>
        <w:tabs>
          <w:tab w:val="left" w:pos="-567" w:leader="none"/>
        </w:tabs>
        <w:ind w:right="-1" w:firstLine="709"/>
        <w:rPr/>
      </w:pPr>
      <w:r>
        <w:rPr/>
        <w:t xml:space="preserve">Для обеспечения двухсторонней связи «посетитель-жилец», а также для дистанционного открывания электрофицированного замка на входной двери подъезда из любой квартиры, проектом предусмотрена в проектируемом жилом доме система домофонной связи фирмы «Визит». </w:t>
      </w:r>
    </w:p>
    <w:p>
      <w:pPr>
        <w:pStyle w:val="Normal"/>
        <w:tabs>
          <w:tab w:val="left" w:pos="-567" w:leader="none"/>
        </w:tabs>
        <w:ind w:right="-1" w:firstLine="709"/>
        <w:rPr/>
      </w:pPr>
      <w:r>
        <w:rPr/>
        <w:t xml:space="preserve">Домофонная система «Визит» выполняется с использованием универсальных блоков вызова подъездного аудиодомофона БВД, электромагнитных замков ML-400, блоков управления БУД, кнопок вызова и блоков коммутации БК-100. В квартирах устанавливаются устройства квартирные переговорные типа УКП-12. </w:t>
      </w:r>
    </w:p>
    <w:p>
      <w:pPr>
        <w:pStyle w:val="Normal"/>
        <w:tabs>
          <w:tab w:val="left" w:pos="-567" w:leader="none"/>
        </w:tabs>
        <w:ind w:right="-1" w:firstLine="709"/>
        <w:rPr/>
      </w:pPr>
      <w:r>
        <w:rPr/>
        <w:t>Вертикальные линии от блока коммутации до этажных распределительных коробок выполнены кабелем марки КСВВнг(А)-LS-20х0,5.</w:t>
      </w:r>
    </w:p>
    <w:p>
      <w:pPr>
        <w:pStyle w:val="Standard"/>
        <w:tabs>
          <w:tab w:val="left" w:pos="-567" w:leader="none"/>
        </w:tabs>
        <w:spacing w:lineRule="auto" w:line="240"/>
        <w:ind w:right="-1" w:firstLine="720"/>
        <w:rPr>
          <w:rFonts w:ascii="Times New Roman" w:hAnsi="Times New Roman"/>
          <w:sz w:val="24"/>
          <w:szCs w:val="24"/>
        </w:rPr>
      </w:pPr>
      <w:r>
        <w:rPr>
          <w:rFonts w:ascii="Times New Roman" w:hAnsi="Times New Roman"/>
          <w:sz w:val="24"/>
          <w:szCs w:val="24"/>
        </w:rPr>
        <w:t>Сеть  домофона от поэтажного слаботочного шкафа до квартир выполнена проводом КСПВ-2х0,5 в трубах ПВХ-25 совместно с сетями телефона.</w:t>
      </w:r>
    </w:p>
    <w:p>
      <w:pPr>
        <w:pStyle w:val="Normal"/>
        <w:tabs>
          <w:tab w:val="left" w:pos="-567" w:leader="none"/>
        </w:tabs>
        <w:ind w:right="-1" w:firstLine="709"/>
        <w:rPr>
          <w:b/>
          <w:b/>
        </w:rPr>
      </w:pPr>
      <w:r>
        <w:rPr>
          <w:b/>
        </w:rPr>
      </w:r>
    </w:p>
    <w:p>
      <w:pPr>
        <w:pStyle w:val="Normal"/>
        <w:tabs>
          <w:tab w:val="left" w:pos="-567" w:leader="none"/>
        </w:tabs>
        <w:ind w:right="-1" w:firstLine="709"/>
        <w:rPr>
          <w:b/>
          <w:b/>
        </w:rPr>
      </w:pPr>
      <w:r>
        <w:rPr>
          <w:b/>
        </w:rPr>
        <w:t>Система пожарной сигнализации</w:t>
      </w:r>
    </w:p>
    <w:p>
      <w:pPr>
        <w:pStyle w:val="Normal"/>
        <w:tabs>
          <w:tab w:val="left" w:pos="-567" w:leader="none"/>
        </w:tabs>
        <w:ind w:right="-1" w:firstLine="709"/>
        <w:rPr/>
      </w:pPr>
      <w:r>
        <w:rPr/>
        <w:t xml:space="preserve">Система пожарной сигнализации и оповещения людей о пожаре в секции 8 построена на основе оборудования ЗАО «НВП «Болид». </w:t>
      </w:r>
    </w:p>
    <w:p>
      <w:pPr>
        <w:pStyle w:val="Normal"/>
        <w:tabs>
          <w:tab w:val="left" w:pos="-567" w:leader="none"/>
        </w:tabs>
        <w:ind w:right="-1" w:firstLine="709"/>
        <w:rPr/>
      </w:pPr>
      <w:r>
        <w:rPr/>
        <w:t xml:space="preserve">Автоматическая установка пожарной сигнализации и система оповещения предназначены для обнаружения очага возгорания в контролируемых помещениях и автоматического оповещения о пожаре при помощи оповещателей. </w:t>
      </w:r>
    </w:p>
    <w:p>
      <w:pPr>
        <w:pStyle w:val="Normal"/>
        <w:tabs>
          <w:tab w:val="left" w:pos="-567" w:leader="none"/>
        </w:tabs>
        <w:ind w:right="-1" w:firstLine="709"/>
        <w:rPr/>
      </w:pPr>
      <w:r>
        <w:rPr/>
        <w:t>Лифтовые холлы и внеквартирные коридоры каждого этажа дома оборудуются шлейфами пожарной сигнализации, в который включаются дымовые пожарные извещатели типа «ИП212-141» и ручные пожарные  извещатели  типа «ИПР513-10».</w:t>
      </w:r>
    </w:p>
    <w:p>
      <w:pPr>
        <w:pStyle w:val="Normal"/>
        <w:tabs>
          <w:tab w:val="left" w:pos="-567" w:leader="none"/>
        </w:tabs>
        <w:ind w:right="-1" w:firstLine="709"/>
        <w:rPr/>
      </w:pPr>
      <w:r>
        <w:rPr/>
        <w:t>Ручные пожарные извещатели устанавливаются на стене, на высоте 1,5 м от уровня пола. Провода пожарной сигнализации проложить в кабельном канале.</w:t>
      </w:r>
    </w:p>
    <w:p>
      <w:pPr>
        <w:pStyle w:val="Normal"/>
        <w:tabs>
          <w:tab w:val="left" w:pos="-567" w:leader="none"/>
        </w:tabs>
        <w:ind w:right="-1" w:firstLine="709"/>
        <w:rPr/>
      </w:pPr>
      <w:r>
        <w:rPr/>
        <w:t>Прихожие квартир оборудуются шлейфами пожарной сигнализации, в которые включаются тепловые пожарные извещатели типа ИП103-5/2-А1.</w:t>
      </w:r>
    </w:p>
    <w:p>
      <w:pPr>
        <w:pStyle w:val="Normal"/>
        <w:tabs>
          <w:tab w:val="left" w:pos="-567" w:leader="none"/>
        </w:tabs>
        <w:ind w:right="-1" w:firstLine="709"/>
        <w:rPr/>
      </w:pPr>
      <w:r>
        <w:rPr/>
        <w:t xml:space="preserve">Пожарные извещатели объединяются в шлейфы и подключаются к входам приборов «Сигнал-10», которые имеют возможность определять двойную сработку извещателей в одном шлейфе. </w:t>
      </w:r>
    </w:p>
    <w:p>
      <w:pPr>
        <w:pStyle w:val="Normal"/>
        <w:tabs>
          <w:tab w:val="left" w:pos="-567" w:leader="none"/>
        </w:tabs>
        <w:ind w:right="-1" w:firstLine="709"/>
        <w:rPr/>
      </w:pPr>
      <w:r>
        <w:rPr/>
        <w:t xml:space="preserve">Используемое оборудование пожарной сигнализации обеспечивает перезапрос состояния пожарных извещателей, автоматический контроль работоспособности извещателей с выдачей извещений о неисправности. Приборы «Сигнал-10» установить в этажных слаботочных шкафах. </w:t>
      </w:r>
    </w:p>
    <w:p>
      <w:pPr>
        <w:pStyle w:val="Normal"/>
        <w:tabs>
          <w:tab w:val="left" w:pos="-567" w:leader="none"/>
        </w:tabs>
        <w:ind w:right="-1" w:firstLine="709"/>
        <w:rPr/>
      </w:pPr>
      <w:r>
        <w:rPr>
          <w:rFonts w:eastAsia="Arial Unicode MS"/>
        </w:rPr>
        <w:t>Сеть системы пожарной выполнить кабелем повышенной огнестойкости типа КПКВнг(А)-</w:t>
      </w:r>
      <w:r>
        <w:rPr>
          <w:rFonts w:eastAsia="Arial Unicode MS"/>
          <w:lang w:val="en-US"/>
        </w:rPr>
        <w:t>FRLS</w:t>
      </w:r>
      <w:r>
        <w:rPr>
          <w:rFonts w:eastAsia="Arial Unicode MS"/>
        </w:rPr>
        <w:t xml:space="preserve">1х2х0,5. </w:t>
      </w:r>
      <w:r>
        <w:rPr/>
        <w:t>Провода шлейфов пожарной сигнализации проложить в кабельных каналах.</w:t>
      </w:r>
    </w:p>
    <w:p>
      <w:pPr>
        <w:pStyle w:val="Normal"/>
        <w:tabs>
          <w:tab w:val="left" w:pos="-567" w:leader="none"/>
        </w:tabs>
        <w:ind w:right="-1" w:firstLine="709"/>
        <w:rPr/>
      </w:pPr>
      <w:r>
        <w:rPr/>
        <w:t xml:space="preserve">Все сообщения о состоянии шлейфов пожарной сигнализации отображаются и регистрируются на пульте контроля и управления «С2000-М». </w:t>
      </w:r>
      <w:r>
        <w:rPr/>
        <w:t xml:space="preserve">В системе пульт «С2000-М» выполняет функцию центрального контроллера, собирающего информацию по интерфейсу RS-485 с подключенных приборов. Для удобства и наглядности отображения информации о состоянии системы сигнализации используются блок контроля и индикации «С2000-БКИ». </w:t>
      </w:r>
      <w:r>
        <w:rPr/>
        <w:t>Пульт «С2000-М» и "С2000-БКИ"  установить в помещении пожарного поста на 1 этаже восьмой секции.</w:t>
      </w:r>
    </w:p>
    <w:p>
      <w:pPr>
        <w:pStyle w:val="Normal"/>
        <w:tabs>
          <w:tab w:val="left" w:pos="-567" w:leader="none"/>
          <w:tab w:val="left" w:pos="1276" w:leader="none"/>
        </w:tabs>
        <w:ind w:right="-1" w:firstLine="709"/>
        <w:rPr>
          <w:b/>
          <w:b/>
          <w:bCs/>
        </w:rPr>
      </w:pPr>
      <w:r>
        <w:rPr>
          <w:b/>
          <w:bCs/>
        </w:rPr>
      </w:r>
    </w:p>
    <w:p>
      <w:pPr>
        <w:pStyle w:val="Normal"/>
        <w:tabs>
          <w:tab w:val="left" w:pos="-567" w:leader="none"/>
          <w:tab w:val="left" w:pos="1276" w:leader="none"/>
        </w:tabs>
        <w:ind w:right="-1" w:firstLine="709"/>
        <w:rPr>
          <w:b/>
          <w:b/>
          <w:bCs/>
        </w:rPr>
      </w:pPr>
      <w:r>
        <w:rPr>
          <w:b/>
          <w:bCs/>
        </w:rPr>
        <w:t>Система оповещения и управления эвакуацией при пожаре в жилом доме</w:t>
      </w:r>
    </w:p>
    <w:p>
      <w:pPr>
        <w:pStyle w:val="Normal"/>
        <w:tabs>
          <w:tab w:val="left" w:pos="-567" w:leader="none"/>
          <w:tab w:val="left" w:pos="1276" w:leader="none"/>
        </w:tabs>
        <w:ind w:right="-1" w:firstLine="709"/>
        <w:rPr>
          <w:rFonts w:eastAsia="Arial Unicode MS"/>
        </w:rPr>
      </w:pPr>
      <w:r>
        <w:rPr>
          <w:rFonts w:eastAsia="Arial Unicode MS"/>
        </w:rPr>
        <w:t>Проектом предусмотрено автоматическое включение системы оповещения и управления эвакуацией людей из здания от устройств пожарной сигнализации.</w:t>
      </w:r>
    </w:p>
    <w:p>
      <w:pPr>
        <w:pStyle w:val="Normal"/>
        <w:tabs>
          <w:tab w:val="left" w:pos="-567" w:leader="none"/>
          <w:tab w:val="left" w:pos="1276" w:leader="none"/>
        </w:tabs>
        <w:ind w:right="-1" w:firstLine="709"/>
        <w:rPr>
          <w:rFonts w:eastAsia="Arial Unicode MS"/>
        </w:rPr>
      </w:pPr>
      <w:r>
        <w:rPr>
          <w:rFonts w:eastAsia="Arial Unicode MS"/>
        </w:rPr>
        <w:t xml:space="preserve">В соответствии с СП3.13130.2009 в жилом доме предусматривается оповещение 1-го типа с использованием звуковых оповещателей (сирен) типа «АС-24». </w:t>
      </w:r>
    </w:p>
    <w:p>
      <w:pPr>
        <w:pStyle w:val="Normal"/>
        <w:tabs>
          <w:tab w:val="left" w:pos="-567" w:leader="none"/>
          <w:tab w:val="left" w:pos="1276" w:leader="none"/>
        </w:tabs>
        <w:ind w:right="-1" w:firstLine="709"/>
        <w:rPr/>
      </w:pPr>
      <w:r>
        <w:rPr/>
        <w:t>Проектом предусмотрено автоматическое включение системы звукового оповещения и управления эвакуацией людей из здания от устройств пожарной сигнализации. Для управления системой оповещения используются выходы  блоков  контрольно-пусковых "С2000-КПБ". «С2000-КПБ» обеспечивает:</w:t>
      </w:r>
    </w:p>
    <w:p>
      <w:pPr>
        <w:pStyle w:val="Normal"/>
        <w:tabs>
          <w:tab w:val="left" w:pos="-567" w:leader="none"/>
          <w:tab w:val="left" w:pos="1276" w:leader="none"/>
        </w:tabs>
        <w:ind w:right="-1" w:firstLine="709"/>
        <w:rPr/>
      </w:pPr>
      <w:r>
        <w:rPr/>
        <w:t>-  передачу сообщений по интерфейсу RS-485 на пульт "С2000М";</w:t>
      </w:r>
    </w:p>
    <w:p>
      <w:pPr>
        <w:pStyle w:val="Normal"/>
        <w:tabs>
          <w:tab w:val="left" w:pos="-567" w:leader="none"/>
          <w:tab w:val="left" w:pos="1276" w:leader="none"/>
        </w:tabs>
        <w:ind w:right="-1" w:firstLine="709"/>
        <w:rPr/>
      </w:pPr>
      <w:r>
        <w:rPr/>
        <w:t>-  контроль несанкционированного вскрытия корпуса блока;</w:t>
      </w:r>
    </w:p>
    <w:p>
      <w:pPr>
        <w:pStyle w:val="Normal"/>
        <w:tabs>
          <w:tab w:val="left" w:pos="-567" w:leader="none"/>
          <w:tab w:val="left" w:pos="1276" w:leader="none"/>
        </w:tabs>
        <w:ind w:right="-1" w:firstLine="709"/>
        <w:rPr/>
      </w:pPr>
      <w:r>
        <w:rPr/>
        <w:t>- контроль напряжения питания и наличия связи по интерфейсу RS-485; </w:t>
        <w:br/>
        <w:t>- управление шестью исполнительными устройствами (световые и звуковые оповещатели); </w:t>
        <w:br/>
        <w:t>- контроль исправности цепей подключения исполнительных устройств (отдельно на ОБРЫВ и КЗ).</w:t>
      </w:r>
    </w:p>
    <w:p>
      <w:pPr>
        <w:pStyle w:val="Normal"/>
        <w:tabs>
          <w:tab w:val="left" w:pos="-567" w:leader="none"/>
          <w:tab w:val="left" w:pos="1276" w:leader="none"/>
        </w:tabs>
        <w:ind w:right="-1" w:firstLine="709"/>
        <w:rPr/>
      </w:pPr>
      <w:r>
        <w:rPr/>
        <w:t xml:space="preserve">ПКиУ «С2000М» осуществляет прием тревожных сообщений от приборов «Сигнал-10». На основе полученной информации, вырабатывает управляющие команды на контрольно-пусковые блоки «С2000-КПБ ».   </w:t>
      </w:r>
    </w:p>
    <w:p>
      <w:pPr>
        <w:pStyle w:val="Normal"/>
        <w:tabs>
          <w:tab w:val="left" w:pos="-567" w:leader="none"/>
          <w:tab w:val="left" w:pos="1276" w:leader="none"/>
        </w:tabs>
        <w:ind w:right="-1" w:firstLine="709"/>
        <w:rPr/>
      </w:pPr>
      <w:r>
        <w:rPr/>
        <w:t xml:space="preserve">Питание «С 2000-КПБ» предусмотрено от блоков питания «СКАТ-2400». </w:t>
      </w:r>
    </w:p>
    <w:p>
      <w:pPr>
        <w:pStyle w:val="Normal"/>
        <w:tabs>
          <w:tab w:val="left" w:pos="-567" w:leader="none"/>
          <w:tab w:val="left" w:pos="1276" w:leader="none"/>
        </w:tabs>
        <w:ind w:right="-1" w:firstLine="709"/>
        <w:rPr>
          <w:rFonts w:eastAsia="Arial Unicode MS"/>
        </w:rPr>
      </w:pPr>
      <w:r>
        <w:rPr>
          <w:rFonts w:eastAsia="Arial Unicode MS"/>
        </w:rPr>
        <w:t>Сеть системы оповещения выполнить кабелем типа КПКВнг(А)-</w:t>
      </w:r>
      <w:r>
        <w:rPr>
          <w:rFonts w:eastAsia="Arial Unicode MS"/>
          <w:lang w:val="en-US"/>
        </w:rPr>
        <w:t>FRLS</w:t>
      </w:r>
      <w:r>
        <w:rPr>
          <w:rFonts w:eastAsia="Arial Unicode MS"/>
        </w:rPr>
        <w:t>2х1,0. Кабели проложить в кабельном канале.</w:t>
      </w:r>
    </w:p>
    <w:p>
      <w:pPr>
        <w:pStyle w:val="Normal"/>
        <w:tabs>
          <w:tab w:val="left" w:pos="-567" w:leader="none"/>
          <w:tab w:val="left" w:pos="1276" w:leader="none"/>
        </w:tabs>
        <w:ind w:right="-1" w:firstLine="709"/>
        <w:rPr>
          <w:rFonts w:eastAsia="Arial Unicode MS"/>
        </w:rPr>
      </w:pPr>
      <w:r>
        <w:rPr>
          <w:rFonts w:eastAsia="Arial Unicode MS"/>
        </w:rPr>
      </w:r>
    </w:p>
    <w:p>
      <w:pPr>
        <w:pStyle w:val="Normal"/>
        <w:tabs>
          <w:tab w:val="left" w:pos="-567" w:leader="none"/>
          <w:tab w:val="left" w:pos="1276" w:leader="none"/>
        </w:tabs>
        <w:ind w:right="-1" w:firstLine="709"/>
        <w:rPr>
          <w:rFonts w:eastAsia="Arial Unicode MS"/>
          <w:b/>
          <w:b/>
        </w:rPr>
      </w:pPr>
      <w:r>
        <w:rPr>
          <w:rFonts w:eastAsia="Arial Unicode MS"/>
          <w:b/>
        </w:rPr>
        <w:t>Автоматизация</w:t>
      </w:r>
    </w:p>
    <w:p>
      <w:pPr>
        <w:pStyle w:val="Normal"/>
        <w:tabs>
          <w:tab w:val="left" w:pos="-567" w:leader="none"/>
          <w:tab w:val="left" w:pos="181" w:leader="none"/>
          <w:tab w:val="left" w:pos="2520" w:leader="none"/>
        </w:tabs>
        <w:ind w:right="-1" w:firstLine="709"/>
        <w:rPr/>
      </w:pPr>
      <w:r>
        <w:rPr/>
        <w:t>Проектом предусматривается:</w:t>
      </w:r>
    </w:p>
    <w:p>
      <w:pPr>
        <w:pStyle w:val="Normal"/>
        <w:tabs>
          <w:tab w:val="left" w:pos="-567" w:leader="none"/>
          <w:tab w:val="left" w:pos="181" w:leader="none"/>
          <w:tab w:val="left" w:pos="2520" w:leader="none"/>
        </w:tabs>
        <w:ind w:right="-1" w:firstLine="709"/>
        <w:rPr/>
      </w:pPr>
      <w:r>
        <w:rPr/>
        <w:t>- автоматизация систем дымоудаления;</w:t>
      </w:r>
    </w:p>
    <w:p>
      <w:pPr>
        <w:pStyle w:val="Normal"/>
        <w:tabs>
          <w:tab w:val="left" w:pos="-567" w:leader="none"/>
          <w:tab w:val="left" w:pos="181" w:leader="none"/>
          <w:tab w:val="left" w:pos="2520" w:leader="none"/>
        </w:tabs>
        <w:ind w:right="-1" w:firstLine="709"/>
        <w:rPr/>
      </w:pPr>
      <w:r>
        <w:rPr/>
        <w:t>- автоматизация систем внутреннего противопожарного водопровода.</w:t>
      </w:r>
    </w:p>
    <w:p>
      <w:pPr>
        <w:pStyle w:val="Normal"/>
        <w:tabs>
          <w:tab w:val="left" w:pos="-567" w:leader="none"/>
          <w:tab w:val="left" w:pos="181" w:leader="none"/>
          <w:tab w:val="left" w:pos="2520" w:leader="none"/>
        </w:tabs>
        <w:ind w:right="-1" w:firstLine="709"/>
        <w:rPr/>
      </w:pPr>
      <w:r>
        <w:rPr/>
        <w:t>Комплексная автоматизация системы противодымной вентиляции выполнена на оборудовании фирмы ЗАО НВП «Болид», имеющем сертификаты пожарной безопасности:</w:t>
      </w:r>
    </w:p>
    <w:p>
      <w:pPr>
        <w:pStyle w:val="Normal"/>
        <w:tabs>
          <w:tab w:val="left" w:pos="-567" w:leader="none"/>
          <w:tab w:val="left" w:pos="181" w:leader="none"/>
          <w:tab w:val="left" w:pos="2520" w:leader="none"/>
        </w:tabs>
        <w:ind w:right="-1" w:firstLine="709"/>
        <w:rPr/>
      </w:pPr>
      <w:r>
        <w:rPr/>
        <w:t>- пульт управления С2000М, размещаемый в помещении пожарного поста жилого дома;</w:t>
      </w:r>
    </w:p>
    <w:p>
      <w:pPr>
        <w:pStyle w:val="Normal"/>
        <w:tabs>
          <w:tab w:val="left" w:pos="-567" w:leader="none"/>
          <w:tab w:val="left" w:pos="181" w:leader="none"/>
          <w:tab w:val="left" w:pos="2520" w:leader="none"/>
        </w:tabs>
        <w:ind w:right="-1" w:firstLine="709"/>
        <w:rPr/>
      </w:pPr>
      <w:r>
        <w:rPr/>
        <w:t xml:space="preserve">- блоки сигнально-пусковые адресные типа С2000-СП4/220;  </w:t>
      </w:r>
    </w:p>
    <w:p>
      <w:pPr>
        <w:pStyle w:val="Normal"/>
        <w:tabs>
          <w:tab w:val="left" w:pos="-567" w:leader="none"/>
          <w:tab w:val="left" w:pos="181" w:leader="none"/>
          <w:tab w:val="left" w:pos="2520" w:leader="none"/>
        </w:tabs>
        <w:ind w:right="-1" w:firstLine="709"/>
        <w:rPr/>
      </w:pPr>
      <w:r>
        <w:rPr/>
        <w:t>- контроллеры двухпроводной линии связи С2000-КДЛ;</w:t>
      </w:r>
    </w:p>
    <w:p>
      <w:pPr>
        <w:pStyle w:val="Normal"/>
        <w:tabs>
          <w:tab w:val="left" w:pos="-567" w:leader="none"/>
          <w:tab w:val="left" w:pos="181" w:leader="none"/>
          <w:tab w:val="left" w:pos="2520" w:leader="none"/>
        </w:tabs>
        <w:ind w:right="-1" w:firstLine="709"/>
        <w:rPr/>
      </w:pPr>
      <w:r>
        <w:rPr/>
        <w:t>- блоки сигнально-пусковые типа С2000-СП1 исп. 01;</w:t>
      </w:r>
    </w:p>
    <w:p>
      <w:pPr>
        <w:pStyle w:val="Normal"/>
        <w:tabs>
          <w:tab w:val="left" w:pos="-567" w:leader="none"/>
          <w:tab w:val="left" w:pos="181" w:leader="none"/>
          <w:tab w:val="left" w:pos="2520" w:leader="none"/>
        </w:tabs>
        <w:ind w:right="-1" w:firstLine="709"/>
        <w:rPr/>
      </w:pPr>
      <w:r>
        <w:rPr/>
        <w:t>- блоки индикации типа С2000-БКИ;</w:t>
      </w:r>
    </w:p>
    <w:p>
      <w:pPr>
        <w:pStyle w:val="Normal"/>
        <w:tabs>
          <w:tab w:val="left" w:pos="-567" w:leader="none"/>
          <w:tab w:val="left" w:pos="181" w:leader="none"/>
          <w:tab w:val="left" w:pos="2520" w:leader="none"/>
        </w:tabs>
        <w:ind w:right="-1" w:firstLine="709"/>
        <w:rPr/>
      </w:pPr>
      <w:r>
        <w:rPr/>
        <w:t>- прибор приемно-контрольный охранно-пожарный С2000-4;</w:t>
      </w:r>
    </w:p>
    <w:p>
      <w:pPr>
        <w:pStyle w:val="Normal"/>
        <w:tabs>
          <w:tab w:val="left" w:pos="-567" w:leader="none"/>
          <w:tab w:val="left" w:pos="181" w:leader="none"/>
          <w:tab w:val="left" w:pos="2520" w:leader="none"/>
        </w:tabs>
        <w:ind w:right="-1" w:firstLine="709"/>
        <w:rPr/>
      </w:pPr>
      <w:r>
        <w:rPr/>
        <w:t>- адресные расширители  С2000-АР2, С2000-АР8;</w:t>
      </w:r>
    </w:p>
    <w:p>
      <w:pPr>
        <w:pStyle w:val="Normal"/>
        <w:tabs>
          <w:tab w:val="left" w:pos="-567" w:leader="none"/>
          <w:tab w:val="left" w:pos="181" w:leader="none"/>
          <w:tab w:val="left" w:pos="2520" w:leader="none"/>
        </w:tabs>
        <w:ind w:right="-1" w:firstLine="709"/>
        <w:rPr/>
      </w:pPr>
      <w:r>
        <w:rPr/>
        <w:t>- шкафы контрольно-пусковые ШКП ЗАО «Болид» (для ДУ1, ДУ2);</w:t>
      </w:r>
    </w:p>
    <w:p>
      <w:pPr>
        <w:pStyle w:val="Normal"/>
        <w:tabs>
          <w:tab w:val="left" w:pos="-567" w:leader="none"/>
          <w:tab w:val="left" w:pos="181" w:leader="none"/>
          <w:tab w:val="left" w:pos="2520" w:leader="none"/>
        </w:tabs>
        <w:ind w:right="-1" w:firstLine="709"/>
        <w:rPr/>
      </w:pPr>
      <w:r>
        <w:rPr/>
        <w:t>- элементы дистанционного управления адресные типа ЭДУ 513-3АМ;</w:t>
      </w:r>
    </w:p>
    <w:p>
      <w:pPr>
        <w:pStyle w:val="Normal"/>
        <w:tabs>
          <w:tab w:val="left" w:pos="-567" w:leader="none"/>
          <w:tab w:val="left" w:pos="181" w:leader="none"/>
          <w:tab w:val="left" w:pos="2520" w:leader="none"/>
        </w:tabs>
        <w:ind w:right="-1" w:firstLine="709"/>
        <w:rPr/>
      </w:pPr>
      <w:r>
        <w:rPr/>
        <w:t xml:space="preserve">     </w:t>
      </w:r>
      <w:r>
        <w:rPr/>
        <w:t>Адресная система предназначена для формирования сигналов на управление:</w:t>
      </w:r>
    </w:p>
    <w:p>
      <w:pPr>
        <w:pStyle w:val="Normal"/>
        <w:tabs>
          <w:tab w:val="left" w:pos="-567" w:leader="none"/>
          <w:tab w:val="left" w:pos="181" w:leader="none"/>
          <w:tab w:val="left" w:pos="2520" w:leader="none"/>
        </w:tabs>
        <w:ind w:right="-1" w:firstLine="709"/>
        <w:rPr/>
      </w:pPr>
      <w:r>
        <w:rPr/>
        <w:t>- вытяжными системами дымоудаления ДУ1, ДУ2;</w:t>
      </w:r>
    </w:p>
    <w:p>
      <w:pPr>
        <w:pStyle w:val="Normal"/>
        <w:tabs>
          <w:tab w:val="left" w:pos="-567" w:leader="none"/>
          <w:tab w:val="left" w:pos="181" w:leader="none"/>
          <w:tab w:val="left" w:pos="2520" w:leader="none"/>
        </w:tabs>
        <w:ind w:right="-1" w:firstLine="709"/>
        <w:rPr/>
      </w:pPr>
      <w:r>
        <w:rPr/>
        <w:t>- приточными противодымными системами ПД1…ПД5:</w:t>
      </w:r>
    </w:p>
    <w:p>
      <w:pPr>
        <w:pStyle w:val="Normal"/>
        <w:tabs>
          <w:tab w:val="left" w:pos="-567" w:leader="none"/>
          <w:tab w:val="left" w:pos="181" w:leader="none"/>
          <w:tab w:val="left" w:pos="2520" w:leader="none"/>
        </w:tabs>
        <w:ind w:right="-1" w:firstLine="709"/>
        <w:rPr/>
      </w:pPr>
      <w:r>
        <w:rPr/>
        <w:t>- системой клапанов дымоудаления ИМ… с реверсивными электроприводами фирмы «</w:t>
      </w:r>
      <w:r>
        <w:rPr>
          <w:lang w:val="en-US"/>
        </w:rPr>
        <w:t>BELIMO</w:t>
      </w:r>
      <w:r>
        <w:rPr/>
        <w:t xml:space="preserve">»; </w:t>
      </w:r>
    </w:p>
    <w:p>
      <w:pPr>
        <w:pStyle w:val="Normal"/>
        <w:tabs>
          <w:tab w:val="left" w:pos="181" w:leader="none"/>
          <w:tab w:val="left" w:pos="2520" w:leader="none"/>
        </w:tabs>
        <w:ind w:right="-1" w:firstLine="709"/>
        <w:rPr/>
      </w:pPr>
      <w:r>
        <w:rPr/>
        <w:t xml:space="preserve">  </w:t>
      </w:r>
      <w:r>
        <w:rPr/>
        <w:t>- отключение вентсистем при пожаре;</w:t>
      </w:r>
    </w:p>
    <w:p>
      <w:pPr>
        <w:pStyle w:val="Normal"/>
        <w:tabs>
          <w:tab w:val="left" w:pos="181" w:leader="none"/>
          <w:tab w:val="left" w:pos="2520" w:leader="none"/>
        </w:tabs>
        <w:ind w:right="-1" w:firstLine="709"/>
        <w:rPr/>
      </w:pPr>
      <w:r>
        <w:rPr/>
        <w:t xml:space="preserve">  </w:t>
      </w:r>
      <w:r>
        <w:rPr/>
        <w:t>- опускание лифтов.</w:t>
      </w:r>
    </w:p>
    <w:p>
      <w:pPr>
        <w:pStyle w:val="Normal"/>
        <w:ind w:right="-1" w:firstLine="709"/>
        <w:rPr>
          <w:color w:val="000000" w:themeColor="text1"/>
          <w:highlight w:val="yellow"/>
        </w:rPr>
      </w:pPr>
      <w:r>
        <w:rPr>
          <w:color w:val="000000" w:themeColor="text1"/>
          <w:highlight w:val="yellow"/>
        </w:rPr>
      </w:r>
    </w:p>
    <w:p>
      <w:pPr>
        <w:pStyle w:val="Normal"/>
        <w:ind w:right="-1" w:firstLine="709"/>
        <w:rPr>
          <w:color w:val="000000" w:themeColor="text1"/>
          <w:highlight w:val="yellow"/>
        </w:rPr>
      </w:pPr>
      <w:r>
        <w:rPr>
          <w:color w:val="000000" w:themeColor="text1"/>
          <w:highlight w:val="yellow"/>
        </w:rPr>
      </w:r>
    </w:p>
    <w:p>
      <w:pPr>
        <w:pStyle w:val="Normal"/>
        <w:widowControl/>
        <w:ind w:right="-1" w:hanging="0"/>
        <w:rPr>
          <w:rFonts w:eastAsia="Times New Roman"/>
          <w:b/>
          <w:b/>
          <w:color w:val="000000" w:themeColor="text1"/>
        </w:rPr>
      </w:pPr>
      <w:r>
        <w:rPr>
          <w:b/>
          <w:color w:val="000000" w:themeColor="text1"/>
        </w:rPr>
        <w:t>3.2.5.</w:t>
      </w:r>
      <w:r>
        <w:rPr>
          <w:rFonts w:eastAsia="Times New Roman"/>
          <w:b/>
          <w:color w:val="000000" w:themeColor="text1"/>
        </w:rPr>
        <w:t xml:space="preserve"> Проект организации строительства</w:t>
      </w:r>
    </w:p>
    <w:p>
      <w:pPr>
        <w:pStyle w:val="Normal"/>
        <w:widowControl/>
        <w:ind w:right="-1" w:firstLine="709"/>
        <w:rPr>
          <w:rFonts w:eastAsia="Times New Roman"/>
          <w:b/>
          <w:b/>
          <w:color w:val="000000" w:themeColor="text1"/>
        </w:rPr>
      </w:pPr>
      <w:r>
        <w:rPr>
          <w:rFonts w:eastAsia="Times New Roman"/>
          <w:b/>
          <w:color w:val="000000" w:themeColor="text1"/>
        </w:rPr>
      </w:r>
    </w:p>
    <w:p>
      <w:pPr>
        <w:pStyle w:val="Normal"/>
        <w:ind w:right="-1" w:firstLine="709"/>
        <w:rPr/>
      </w:pPr>
      <w:r>
        <w:rPr/>
        <w:t xml:space="preserve">Объект представляет собой многоквартирный жилой дом со встроенно-пристроенными помещениями делового, культурного и обслуживающего назначения. </w:t>
      </w:r>
    </w:p>
    <w:p>
      <w:pPr>
        <w:pStyle w:val="Normal"/>
        <w:ind w:right="-1" w:firstLine="709"/>
        <w:rPr/>
      </w:pPr>
      <w:r>
        <w:rPr/>
        <w:t>Жилой дом состоит из семи типовых 10-ти этажных (включая технический чердак) блок-секций и одной типовой 17-этажной (включая технический чердак) блок-секции с нижним техническим этажом для прокладки инженерных коммуникаций (подвалом). К жилому дому примыкает 3-х этажное здание, выполненное в монолитных конструкциях, в котором размещены нежилые помещения (офисы).</w:t>
      </w:r>
    </w:p>
    <w:p>
      <w:pPr>
        <w:pStyle w:val="Normal"/>
        <w:ind w:right="-1" w:firstLine="709"/>
        <w:rPr/>
      </w:pPr>
      <w:r>
        <w:rPr/>
        <w:t>Пять сбалансированных 10-ти этажных секций и 17-ти этажная секция соединены 3-х этажным зданием с нежилыми помещениями (офисами), выполненным в монолитных конструкциях.</w:t>
      </w:r>
    </w:p>
    <w:p>
      <w:pPr>
        <w:pStyle w:val="Normal"/>
        <w:ind w:right="-1" w:firstLine="709"/>
        <w:rPr/>
      </w:pPr>
      <w:r>
        <w:rPr/>
        <w:t>Строительство объекта запланировано в два этапа:</w:t>
      </w:r>
    </w:p>
    <w:p>
      <w:pPr>
        <w:pStyle w:val="Normal"/>
        <w:ind w:right="-1" w:firstLine="709"/>
        <w:rPr/>
      </w:pPr>
      <w:r>
        <w:rPr/>
        <w:t>1 этап – пять сблокированных 10-ти этажных (включая технический чердак) блок-секции (1, 2, 3, 4 и 5 секция);</w:t>
      </w:r>
    </w:p>
    <w:p>
      <w:pPr>
        <w:pStyle w:val="Normal"/>
        <w:ind w:right="-1" w:firstLine="709"/>
        <w:rPr/>
      </w:pPr>
      <w:r>
        <w:rPr/>
        <w:t>2 этап – две 10-ти этажных (включая технический чердак) блок-секции (6 и 7 секция) и одна 17-ти этажная (включая технический чердак) блок-секция (8 секция), сблокированные между собой и соединенные с 1-й секцией трехэтажным зданием с нежилыми помещениями (офисами).</w:t>
      </w:r>
    </w:p>
    <w:p>
      <w:pPr>
        <w:pStyle w:val="Normal"/>
        <w:ind w:right="-1" w:firstLine="709"/>
        <w:rPr/>
      </w:pPr>
      <w:r>
        <w:rPr/>
      </w:r>
    </w:p>
    <w:p>
      <w:pPr>
        <w:pStyle w:val="ConsPlusNormal1"/>
        <w:widowControl/>
        <w:ind w:right="-1" w:firstLine="709"/>
        <w:rPr>
          <w:rFonts w:ascii="Times New Roman" w:hAnsi="Times New Roman" w:cs="Times New Roman"/>
          <w:b/>
          <w:b/>
          <w:sz w:val="24"/>
          <w:szCs w:val="24"/>
        </w:rPr>
      </w:pPr>
      <w:r>
        <w:rPr>
          <w:rFonts w:cs="Times New Roman" w:ascii="Times New Roman" w:hAnsi="Times New Roman"/>
          <w:b/>
          <w:sz w:val="24"/>
          <w:szCs w:val="24"/>
        </w:rPr>
        <w:t>Конструктивные решения</w:t>
      </w:r>
    </w:p>
    <w:p>
      <w:pPr>
        <w:pStyle w:val="Normal"/>
        <w:ind w:right="-1" w:firstLine="709"/>
        <w:rPr/>
      </w:pPr>
      <w:r>
        <w:rPr/>
        <w:t>Проектом принято:</w:t>
      </w:r>
    </w:p>
    <w:p>
      <w:pPr>
        <w:pStyle w:val="Normal"/>
        <w:ind w:right="-1" w:firstLine="709"/>
        <w:rPr/>
      </w:pPr>
      <w:r>
        <w:rPr/>
        <w:t>Фундамент: монолитная железобетонная плита (секции с 1-7) монолитная железобетонная стена набуронабивных сваях (секция 8) отдельные монолитные плиты (нежилые помещения (офисы));</w:t>
      </w:r>
    </w:p>
    <w:p>
      <w:pPr>
        <w:pStyle w:val="Normal"/>
        <w:ind w:right="-1" w:firstLine="709"/>
        <w:rPr/>
      </w:pPr>
      <w:r>
        <w:rPr/>
        <w:t>Стены подвала: сборные железобетонные трехслойные панели;</w:t>
      </w:r>
    </w:p>
    <w:p>
      <w:pPr>
        <w:pStyle w:val="Normal"/>
        <w:ind w:right="-1" w:firstLine="709"/>
        <w:rPr/>
      </w:pPr>
      <w:r>
        <w:rPr/>
        <w:t>Наружные стены: сборные железобетонные трехслойные панели из тяжелого бетона с утеплителем из пенополистирола;</w:t>
      </w:r>
    </w:p>
    <w:p>
      <w:pPr>
        <w:pStyle w:val="Normal"/>
        <w:ind w:right="-1" w:firstLine="709"/>
        <w:rPr/>
      </w:pPr>
      <w:r>
        <w:rPr/>
        <w:t>Внутренние стены: сборные железобетонные панели;</w:t>
      </w:r>
    </w:p>
    <w:p>
      <w:pPr>
        <w:pStyle w:val="Normal"/>
        <w:ind w:right="-1" w:firstLine="709"/>
        <w:rPr/>
      </w:pPr>
      <w:r>
        <w:rPr/>
        <w:t>Плиты перекрытия и покрытия: многопустотные железобетонные плиты;</w:t>
      </w:r>
    </w:p>
    <w:p>
      <w:pPr>
        <w:pStyle w:val="Normal"/>
        <w:ind w:right="-1" w:firstLine="709"/>
        <w:rPr/>
      </w:pPr>
      <w:r>
        <w:rPr/>
        <w:t>Лестницы: сборные железобетонные марши и площадки;</w:t>
      </w:r>
    </w:p>
    <w:p>
      <w:pPr>
        <w:pStyle w:val="Normal"/>
        <w:ind w:right="-1" w:firstLine="709"/>
        <w:rPr/>
      </w:pPr>
      <w:r>
        <w:rPr/>
        <w:t>Перегородки: сборные железобетонные панели;</w:t>
      </w:r>
    </w:p>
    <w:p>
      <w:pPr>
        <w:pStyle w:val="Normal"/>
        <w:ind w:right="-1" w:firstLine="709"/>
        <w:rPr/>
      </w:pPr>
      <w:r>
        <w:rPr/>
        <w:t>Наружные стены чердака: сборные железобетонные трехслойные панели из легкого бетона;</w:t>
      </w:r>
    </w:p>
    <w:p>
      <w:pPr>
        <w:pStyle w:val="Normal"/>
        <w:ind w:right="-1" w:firstLine="709"/>
        <w:rPr/>
      </w:pPr>
      <w:r>
        <w:rPr/>
        <w:t>Окна: пластиковые с двухкамерным стеклопакетом и микропроветриванием;</w:t>
      </w:r>
    </w:p>
    <w:p>
      <w:pPr>
        <w:pStyle w:val="Normal"/>
        <w:ind w:right="-1" w:firstLine="709"/>
        <w:rPr/>
      </w:pPr>
      <w:r>
        <w:rPr/>
        <w:t>Двери: деревянные, металлические, противопожарные;</w:t>
      </w:r>
    </w:p>
    <w:p>
      <w:pPr>
        <w:pStyle w:val="Normal"/>
        <w:ind w:right="-1" w:firstLine="709"/>
        <w:rPr/>
      </w:pPr>
      <w:r>
        <w:rPr/>
        <w:t>Кровля: плоская рулонная наплавляемая, с внутренним водостоком.</w:t>
      </w:r>
    </w:p>
    <w:p>
      <w:pPr>
        <w:pStyle w:val="Normal"/>
        <w:ind w:right="-1" w:firstLine="709"/>
        <w:rPr/>
      </w:pPr>
      <w:r>
        <w:rPr/>
      </w:r>
    </w:p>
    <w:p>
      <w:pPr>
        <w:pStyle w:val="Normal"/>
        <w:ind w:right="-1" w:firstLine="709"/>
        <w:rPr>
          <w:rFonts w:eastAsia="TimesNewRoman"/>
          <w:b/>
          <w:b/>
        </w:rPr>
      </w:pPr>
      <w:r>
        <w:rPr>
          <w:rFonts w:eastAsia="TimesNewRoman"/>
          <w:b/>
        </w:rPr>
        <w:t>Проектом отражены:</w:t>
      </w:r>
    </w:p>
    <w:p>
      <w:pPr>
        <w:pStyle w:val="Normal"/>
        <w:ind w:right="-1" w:firstLine="709"/>
        <w:rPr>
          <w:rFonts w:eastAsia="TimesNewRoman"/>
        </w:rPr>
      </w:pPr>
      <w:r>
        <w:rPr>
          <w:rFonts w:eastAsia="TimesNewRoman"/>
        </w:rPr>
        <w:t>- характеристика района по месту расположения объекта;</w:t>
      </w:r>
    </w:p>
    <w:p>
      <w:pPr>
        <w:pStyle w:val="Normal"/>
        <w:ind w:right="-1" w:firstLine="709"/>
        <w:rPr>
          <w:rFonts w:eastAsia="TimesNewRoman"/>
        </w:rPr>
      </w:pPr>
      <w:r>
        <w:rPr>
          <w:rFonts w:eastAsia="TimesNewRoman"/>
        </w:rPr>
        <w:t>- конструктивное решение;</w:t>
      </w:r>
    </w:p>
    <w:p>
      <w:pPr>
        <w:pStyle w:val="Normal"/>
        <w:ind w:right="-1" w:firstLine="709"/>
        <w:rPr>
          <w:rFonts w:eastAsia="TimesNewRoman"/>
        </w:rPr>
      </w:pPr>
      <w:r>
        <w:rPr>
          <w:rFonts w:eastAsia="TimesNewRoman"/>
        </w:rPr>
        <w:t>- дана оценка развитости транспортной инфраструктуры;</w:t>
      </w:r>
    </w:p>
    <w:p>
      <w:pPr>
        <w:pStyle w:val="Normal"/>
        <w:ind w:right="-1" w:firstLine="709"/>
        <w:rPr>
          <w:rFonts w:eastAsia="TimesNewRoman"/>
        </w:rPr>
      </w:pPr>
      <w:r>
        <w:rPr>
          <w:rFonts w:eastAsia="TimesNewRoman"/>
        </w:rPr>
        <w:t>- сведения о возможности использования местной рабочей силы;</w:t>
      </w:r>
    </w:p>
    <w:p>
      <w:pPr>
        <w:pStyle w:val="Normal"/>
        <w:ind w:right="-1" w:firstLine="709"/>
        <w:rPr>
          <w:rFonts w:eastAsia="TimesNewRoman"/>
        </w:rPr>
      </w:pPr>
      <w:r>
        <w:rPr>
          <w:rFonts w:eastAsia="TimesNewRoman"/>
        </w:rPr>
        <w:t>- дана характеристика используемого земельного участка с указанием гидрогеологических условий и характеристик грунтов;</w:t>
      </w:r>
    </w:p>
    <w:p>
      <w:pPr>
        <w:pStyle w:val="Normal"/>
        <w:ind w:right="-1" w:firstLine="709"/>
        <w:rPr>
          <w:rFonts w:eastAsia="TimesNewRoman"/>
        </w:rPr>
      </w:pPr>
      <w:r>
        <w:rPr>
          <w:rFonts w:eastAsia="TimesNewRoman"/>
        </w:rPr>
        <w:t>- решения по подготовке строительной площадки;</w:t>
      </w:r>
    </w:p>
    <w:p>
      <w:pPr>
        <w:pStyle w:val="Normal"/>
        <w:ind w:right="-1" w:firstLine="709"/>
        <w:rPr>
          <w:rFonts w:eastAsia="TimesNewRoman"/>
        </w:rPr>
      </w:pPr>
      <w:r>
        <w:rPr>
          <w:rFonts w:eastAsia="TimesNewRoman"/>
        </w:rPr>
        <w:t>- организационно-технологическая схема последовательности возведения зданий, инженерных и транспортных коммуникаций;</w:t>
      </w:r>
    </w:p>
    <w:p>
      <w:pPr>
        <w:pStyle w:val="Normal"/>
        <w:ind w:right="-1" w:firstLine="709"/>
        <w:rPr>
          <w:rFonts w:eastAsia="TimesNewRoman"/>
        </w:rPr>
      </w:pPr>
      <w:r>
        <w:rPr>
          <w:rFonts w:eastAsia="TimesNewRoman"/>
        </w:rPr>
        <w:t>- перечень видов СМР, ответственных конструкций, подлежащих освидетельствованию перед началом последующих работ;</w:t>
      </w:r>
    </w:p>
    <w:p>
      <w:pPr>
        <w:pStyle w:val="Normal"/>
        <w:ind w:right="-1" w:firstLine="709"/>
        <w:rPr>
          <w:rFonts w:eastAsia="TimesNewRoman"/>
        </w:rPr>
      </w:pPr>
      <w:r>
        <w:rPr>
          <w:rFonts w:eastAsia="TimesNewRoman"/>
        </w:rPr>
        <w:t>- технологическая последовательность работ при возведении объектов строительства;</w:t>
      </w:r>
    </w:p>
    <w:p>
      <w:pPr>
        <w:pStyle w:val="Normal"/>
        <w:ind w:right="-1" w:firstLine="709"/>
        <w:rPr>
          <w:rFonts w:eastAsia="TimesNewRoman"/>
        </w:rPr>
      </w:pPr>
      <w:r>
        <w:rPr>
          <w:rFonts w:eastAsia="TimesNewRoman"/>
        </w:rPr>
        <w:t>- потребность в рабочих кадрах, во временных зданиях;</w:t>
      </w:r>
    </w:p>
    <w:p>
      <w:pPr>
        <w:pStyle w:val="Normal"/>
        <w:ind w:right="-1" w:firstLine="709"/>
        <w:rPr/>
      </w:pPr>
      <w:r>
        <w:rPr/>
        <w:t xml:space="preserve">- </w:t>
      </w:r>
      <w:r>
        <w:rPr>
          <w:rFonts w:eastAsia="TimesNewRoman"/>
        </w:rPr>
        <w:t>потребность в основных строительных машинах и механизмах</w:t>
      </w:r>
      <w:r>
        <w:rPr/>
        <w:t xml:space="preserve">, </w:t>
      </w:r>
      <w:r>
        <w:rPr>
          <w:rFonts w:eastAsia="TimesNewRoman"/>
        </w:rPr>
        <w:t>в эл</w:t>
      </w:r>
      <w:r>
        <w:rPr/>
        <w:t xml:space="preserve">. </w:t>
      </w:r>
      <w:r>
        <w:rPr>
          <w:rFonts w:eastAsia="TimesNewRoman"/>
        </w:rPr>
        <w:t>энергии и воде</w:t>
      </w:r>
      <w:r>
        <w:rPr/>
        <w:t>;</w:t>
      </w:r>
    </w:p>
    <w:p>
      <w:pPr>
        <w:pStyle w:val="Normal"/>
        <w:ind w:right="-1" w:firstLine="709"/>
        <w:rPr>
          <w:rFonts w:eastAsia="TimesNewRoman"/>
        </w:rPr>
      </w:pPr>
      <w:r>
        <w:rPr/>
        <w:t xml:space="preserve">- </w:t>
      </w:r>
      <w:r>
        <w:rPr>
          <w:rFonts w:eastAsia="TimesNewRoman"/>
        </w:rPr>
        <w:t>обоснование строительных площадок для складирования материалов и конструкций</w:t>
      </w:r>
    </w:p>
    <w:p>
      <w:pPr>
        <w:pStyle w:val="Normal"/>
        <w:ind w:right="-1" w:firstLine="709"/>
        <w:rPr/>
      </w:pPr>
      <w:r>
        <w:rPr/>
        <w:t xml:space="preserve">- </w:t>
      </w:r>
      <w:r>
        <w:rPr>
          <w:rFonts w:eastAsia="TimesNewRoman"/>
        </w:rPr>
        <w:t>предложения по обеспечению контроля качества строительных и монтажных работ</w:t>
      </w:r>
      <w:r>
        <w:rPr/>
        <w:t>;</w:t>
      </w:r>
    </w:p>
    <w:p>
      <w:pPr>
        <w:pStyle w:val="Normal"/>
        <w:ind w:right="-1" w:firstLine="709"/>
        <w:rPr/>
      </w:pPr>
      <w:r>
        <w:rPr/>
        <w:t xml:space="preserve">- </w:t>
      </w:r>
      <w:r>
        <w:rPr>
          <w:rFonts w:eastAsia="TimesNewRoman"/>
        </w:rPr>
        <w:t>мероприятия по ТБ</w:t>
      </w:r>
      <w:r>
        <w:rPr/>
        <w:t xml:space="preserve">, </w:t>
      </w:r>
      <w:r>
        <w:rPr>
          <w:rFonts w:eastAsia="TimesNewRoman"/>
        </w:rPr>
        <w:t>производственной санитарии и противопожарные мероприятия</w:t>
      </w:r>
      <w:r>
        <w:rPr/>
        <w:t>;</w:t>
      </w:r>
    </w:p>
    <w:p>
      <w:pPr>
        <w:pStyle w:val="Normal"/>
        <w:ind w:right="-1" w:firstLine="709"/>
        <w:rPr/>
      </w:pPr>
      <w:r>
        <w:rPr/>
        <w:t xml:space="preserve">- </w:t>
      </w:r>
      <w:r>
        <w:rPr>
          <w:rFonts w:eastAsia="TimesNewRoman"/>
        </w:rPr>
        <w:t>описание проектных решений по охране окружающей среды</w:t>
      </w:r>
      <w:r>
        <w:rPr/>
        <w:t>;</w:t>
      </w:r>
    </w:p>
    <w:p>
      <w:pPr>
        <w:pStyle w:val="Normal"/>
        <w:ind w:right="-1" w:firstLine="709"/>
        <w:rPr/>
      </w:pPr>
      <w:r>
        <w:rPr/>
        <w:t xml:space="preserve">- </w:t>
      </w:r>
      <w:r>
        <w:rPr>
          <w:rFonts w:eastAsia="TimesNewRoman"/>
        </w:rPr>
        <w:t>описание проектных решений по охране объекта в период строительства</w:t>
      </w:r>
      <w:r>
        <w:rPr/>
        <w:t>;</w:t>
      </w:r>
    </w:p>
    <w:p>
      <w:pPr>
        <w:pStyle w:val="Normal"/>
        <w:ind w:right="-1" w:firstLine="709"/>
        <w:rPr/>
      </w:pPr>
      <w:r>
        <w:rPr/>
        <w:t xml:space="preserve">- </w:t>
      </w:r>
      <w:r>
        <w:rPr>
          <w:rFonts w:eastAsia="TimesNewRoman"/>
        </w:rPr>
        <w:t>обоснование принятой продолжительности строительства</w:t>
      </w:r>
      <w:r>
        <w:rPr/>
        <w:t>;</w:t>
      </w:r>
    </w:p>
    <w:p>
      <w:pPr>
        <w:pStyle w:val="Normal"/>
        <w:ind w:right="-1" w:firstLine="709"/>
        <w:rPr>
          <w:rFonts w:eastAsia="TimesNewRoman"/>
        </w:rPr>
      </w:pPr>
      <w:r>
        <w:rPr/>
        <w:t xml:space="preserve">- </w:t>
      </w:r>
      <w:r>
        <w:rPr>
          <w:rFonts w:eastAsia="TimesNewRoman"/>
        </w:rPr>
        <w:t>перечень мероприятий по организации мониторинга за состоянием зданий и</w:t>
      </w:r>
    </w:p>
    <w:p>
      <w:pPr>
        <w:pStyle w:val="Normal"/>
        <w:ind w:right="-1" w:firstLine="709"/>
        <w:rPr/>
      </w:pPr>
      <w:r>
        <w:rPr>
          <w:rFonts w:eastAsia="TimesNewRoman"/>
        </w:rPr>
        <w:t>сооружений</w:t>
      </w:r>
      <w:r>
        <w:rPr/>
        <w:t xml:space="preserve">, </w:t>
      </w:r>
      <w:r>
        <w:rPr>
          <w:rFonts w:eastAsia="TimesNewRoman"/>
        </w:rPr>
        <w:t>расположенных в непосредственной близости от строящегося объекта</w:t>
      </w:r>
      <w:r>
        <w:rPr/>
        <w:t>.</w:t>
      </w:r>
    </w:p>
    <w:p>
      <w:pPr>
        <w:pStyle w:val="Normal"/>
        <w:ind w:right="-1" w:firstLine="709"/>
        <w:rPr/>
      </w:pPr>
      <w:r>
        <w:rPr/>
        <w:t>Среднесписочная численность работающих составляет 80 чел., трудозатраты на возведение объекта составят 31 083 чел-дн.</w:t>
      </w:r>
    </w:p>
    <w:p>
      <w:pPr>
        <w:pStyle w:val="Normal"/>
        <w:ind w:right="-1" w:firstLine="709"/>
        <w:rPr>
          <w:b/>
          <w:b/>
        </w:rPr>
      </w:pPr>
      <w:r>
        <w:rPr>
          <w:b/>
        </w:rPr>
      </w:r>
    </w:p>
    <w:p>
      <w:pPr>
        <w:pStyle w:val="Normal"/>
        <w:ind w:right="-1" w:firstLine="709"/>
        <w:rPr>
          <w:b/>
          <w:b/>
          <w:bCs/>
          <w:color w:val="000000"/>
        </w:rPr>
      </w:pPr>
      <w:r>
        <w:rPr>
          <w:b/>
          <w:bCs/>
          <w:color w:val="000000"/>
        </w:rPr>
        <w:t>Подготовительный период</w:t>
      </w:r>
    </w:p>
    <w:p>
      <w:pPr>
        <w:pStyle w:val="Normal"/>
        <w:ind w:right="-1" w:firstLine="709"/>
        <w:rPr>
          <w:bCs/>
        </w:rPr>
      </w:pPr>
      <w:r>
        <w:rPr>
          <w:bCs/>
        </w:rPr>
        <w:t>Подготовительный период строительства в настоящем проекте принят равным  1  месяцу.</w:t>
      </w:r>
    </w:p>
    <w:p>
      <w:pPr>
        <w:pStyle w:val="Normal"/>
        <w:ind w:right="-1" w:firstLine="709"/>
        <w:rPr>
          <w:rFonts w:eastAsia="TimesNewRoman"/>
        </w:rPr>
      </w:pPr>
      <w:r>
        <w:rPr>
          <w:rFonts w:eastAsia="TimesNewRoman"/>
        </w:rPr>
        <w:t>Выполнение комплекса подготовительных работ, включающих в себя:</w:t>
      </w:r>
    </w:p>
    <w:p>
      <w:pPr>
        <w:pStyle w:val="Normal"/>
        <w:ind w:right="-1" w:firstLine="709"/>
        <w:rPr>
          <w:rFonts w:eastAsia="TimesNewRoman"/>
        </w:rPr>
      </w:pPr>
      <w:r>
        <w:rPr>
          <w:rFonts w:eastAsia="TimesNewRoman"/>
        </w:rPr>
        <w:t>- ограждение строительной площадки временным забором;</w:t>
      </w:r>
    </w:p>
    <w:p>
      <w:pPr>
        <w:pStyle w:val="Normal"/>
        <w:ind w:right="-1" w:firstLine="709"/>
        <w:rPr>
          <w:rFonts w:eastAsia="TimesNewRoman"/>
        </w:rPr>
      </w:pPr>
      <w:r>
        <w:rPr>
          <w:rFonts w:eastAsia="TimesNewRoman"/>
        </w:rPr>
        <w:t>- создание геодезической разбивочной основы для строительства;</w:t>
      </w:r>
    </w:p>
    <w:p>
      <w:pPr>
        <w:pStyle w:val="Normal"/>
        <w:ind w:right="-1" w:firstLine="709"/>
        <w:rPr>
          <w:rFonts w:eastAsia="TimesNewRoman"/>
        </w:rPr>
      </w:pPr>
      <w:r>
        <w:rPr>
          <w:rFonts w:eastAsia="TimesNewRoman"/>
        </w:rPr>
        <w:t>- расчистка и планировка стройплощадки;</w:t>
      </w:r>
    </w:p>
    <w:p>
      <w:pPr>
        <w:pStyle w:val="Normal"/>
        <w:ind w:right="-1" w:firstLine="709"/>
        <w:rPr>
          <w:rFonts w:eastAsia="TimesNewRoman"/>
        </w:rPr>
      </w:pPr>
      <w:r>
        <w:rPr>
          <w:rFonts w:eastAsia="TimesNewRoman"/>
        </w:rPr>
        <w:t>- инженерная подготовка стройплощадки.</w:t>
      </w:r>
    </w:p>
    <w:p>
      <w:pPr>
        <w:pStyle w:val="Normal"/>
        <w:ind w:right="-1" w:firstLine="709"/>
        <w:rPr/>
      </w:pPr>
      <w:r>
        <w:rPr/>
      </w:r>
    </w:p>
    <w:p>
      <w:pPr>
        <w:pStyle w:val="Normal"/>
        <w:ind w:right="-1" w:firstLine="709"/>
        <w:rPr/>
      </w:pPr>
      <w:r>
        <w:rPr>
          <w:b/>
          <w:bCs/>
        </w:rPr>
        <w:t>Основной период</w:t>
      </w:r>
      <w:r>
        <w:rPr>
          <w:i/>
          <w:iCs/>
        </w:rPr>
        <w:t xml:space="preserve"> </w:t>
      </w:r>
      <w:r>
        <w:rPr/>
        <w:t>включает в себя: земляные работы, возведение подземной части,</w:t>
      </w:r>
    </w:p>
    <w:p>
      <w:pPr>
        <w:pStyle w:val="Normal"/>
        <w:ind w:right="-1" w:firstLine="709"/>
        <w:rPr>
          <w:rStyle w:val="731"/>
          <w:b w:val="false"/>
          <w:b w:val="false"/>
          <w:bCs w:val="false"/>
          <w:i w:val="false"/>
          <w:i w:val="false"/>
          <w:iCs w:val="false"/>
          <w:sz w:val="24"/>
          <w:szCs w:val="24"/>
        </w:rPr>
      </w:pPr>
      <w:r>
        <w:rPr/>
        <w:t>возведение надземной частей здания, монтаж инженерного оборудования, внутренние отделочные работы, монтаж технологического оборудования, наружные отделочные работы, благоустройство территории.</w:t>
      </w:r>
    </w:p>
    <w:p>
      <w:pPr>
        <w:pStyle w:val="7311"/>
        <w:shd w:val="clear" w:color="auto" w:fill="auto"/>
        <w:spacing w:lineRule="auto" w:line="240" w:before="0" w:after="0"/>
        <w:ind w:right="-1" w:firstLine="709"/>
        <w:contextualSpacing/>
        <w:jc w:val="both"/>
        <w:rPr>
          <w:rFonts w:ascii="Times New Roman" w:hAnsi="Times New Roman"/>
          <w:b w:val="false"/>
          <w:b w:val="false"/>
          <w:bCs w:val="false"/>
          <w:i w:val="false"/>
          <w:i w:val="false"/>
          <w:iCs w:val="false"/>
          <w:sz w:val="24"/>
          <w:szCs w:val="24"/>
        </w:rPr>
      </w:pPr>
      <w:r>
        <w:rPr>
          <w:rFonts w:ascii="Times New Roman" w:hAnsi="Times New Roman"/>
          <w:b w:val="false"/>
          <w:bCs w:val="false"/>
          <w:i w:val="false"/>
          <w:iCs w:val="false"/>
          <w:sz w:val="24"/>
          <w:szCs w:val="24"/>
        </w:rPr>
        <w:t>Общая продолжительность строительства составит 52 месяца, в т.ч. по этапам:</w:t>
      </w:r>
    </w:p>
    <w:p>
      <w:pPr>
        <w:pStyle w:val="7311"/>
        <w:shd w:val="clear" w:color="auto" w:fill="auto"/>
        <w:spacing w:lineRule="auto" w:line="240" w:before="0" w:after="0"/>
        <w:ind w:right="-1" w:firstLine="709"/>
        <w:contextualSpacing/>
        <w:jc w:val="both"/>
        <w:rPr>
          <w:rFonts w:ascii="Times New Roman" w:hAnsi="Times New Roman"/>
          <w:b w:val="false"/>
          <w:b w:val="false"/>
          <w:bCs w:val="false"/>
          <w:i w:val="false"/>
          <w:i w:val="false"/>
          <w:iCs w:val="false"/>
          <w:sz w:val="24"/>
          <w:szCs w:val="24"/>
        </w:rPr>
      </w:pPr>
      <w:r>
        <w:rPr>
          <w:rFonts w:ascii="Times New Roman" w:hAnsi="Times New Roman"/>
          <w:b w:val="false"/>
          <w:bCs w:val="false"/>
          <w:i w:val="false"/>
          <w:iCs w:val="false"/>
          <w:sz w:val="24"/>
          <w:szCs w:val="24"/>
        </w:rPr>
        <w:t xml:space="preserve">- Этап </w:t>
      </w:r>
      <w:r>
        <w:rPr>
          <w:rFonts w:ascii="Times New Roman" w:hAnsi="Times New Roman"/>
          <w:b w:val="false"/>
          <w:bCs w:val="false"/>
          <w:i w:val="false"/>
          <w:iCs w:val="false"/>
          <w:sz w:val="24"/>
          <w:szCs w:val="24"/>
          <w:lang w:val="en-US"/>
        </w:rPr>
        <w:t>I</w:t>
      </w:r>
      <w:r>
        <w:rPr>
          <w:rFonts w:ascii="Times New Roman" w:hAnsi="Times New Roman"/>
          <w:b w:val="false"/>
          <w:bCs w:val="false"/>
          <w:i w:val="false"/>
          <w:iCs w:val="false"/>
          <w:sz w:val="24"/>
          <w:szCs w:val="24"/>
        </w:rPr>
        <w:t xml:space="preserve"> – подготовительный период 1 месяц, основной период – 25 месяцев;</w:t>
      </w:r>
    </w:p>
    <w:p>
      <w:pPr>
        <w:pStyle w:val="7311"/>
        <w:shd w:val="clear" w:color="auto" w:fill="auto"/>
        <w:spacing w:lineRule="auto" w:line="240" w:before="0" w:after="0"/>
        <w:ind w:right="-1" w:firstLine="709"/>
        <w:contextualSpacing/>
        <w:jc w:val="both"/>
        <w:rPr>
          <w:rFonts w:ascii="Times New Roman" w:hAnsi="Times New Roman"/>
          <w:b w:val="false"/>
          <w:b w:val="false"/>
          <w:bCs w:val="false"/>
          <w:i w:val="false"/>
          <w:i w:val="false"/>
          <w:iCs w:val="false"/>
          <w:sz w:val="24"/>
          <w:szCs w:val="24"/>
        </w:rPr>
      </w:pPr>
      <w:r>
        <w:rPr>
          <w:rFonts w:ascii="Times New Roman" w:hAnsi="Times New Roman"/>
          <w:b w:val="false"/>
          <w:bCs w:val="false"/>
          <w:i w:val="false"/>
          <w:iCs w:val="false"/>
          <w:sz w:val="24"/>
          <w:szCs w:val="24"/>
        </w:rPr>
        <w:t xml:space="preserve">- Этап </w:t>
      </w:r>
      <w:r>
        <w:rPr>
          <w:rFonts w:ascii="Times New Roman" w:hAnsi="Times New Roman"/>
          <w:b w:val="false"/>
          <w:bCs w:val="false"/>
          <w:i w:val="false"/>
          <w:iCs w:val="false"/>
          <w:sz w:val="24"/>
          <w:szCs w:val="24"/>
          <w:lang w:val="en-US"/>
        </w:rPr>
        <w:t>II</w:t>
      </w:r>
      <w:r>
        <w:rPr>
          <w:rFonts w:ascii="Times New Roman" w:hAnsi="Times New Roman"/>
          <w:b w:val="false"/>
          <w:bCs w:val="false"/>
          <w:i w:val="false"/>
          <w:iCs w:val="false"/>
          <w:sz w:val="24"/>
          <w:szCs w:val="24"/>
        </w:rPr>
        <w:t xml:space="preserve"> – подготовительный период 1 месяц, основной период – 25 месяцев.</w:t>
      </w:r>
    </w:p>
    <w:p>
      <w:pPr>
        <w:pStyle w:val="Normal"/>
        <w:ind w:right="-1" w:firstLine="709"/>
        <w:rPr>
          <w:bCs/>
        </w:rPr>
      </w:pPr>
      <w:r>
        <w:rPr>
          <w:b/>
          <w:bCs/>
        </w:rPr>
        <w:t>Строительный генеральный план</w:t>
      </w:r>
      <w:r>
        <w:rPr>
          <w:bCs/>
        </w:rPr>
        <w:t xml:space="preserve"> разработан на основе схемы планировочной организации земельного участка.</w:t>
      </w:r>
    </w:p>
    <w:p>
      <w:pPr>
        <w:pStyle w:val="Normal"/>
        <w:ind w:right="-1" w:firstLine="709"/>
        <w:rPr/>
      </w:pPr>
      <w:r>
        <w:rPr/>
        <w:t>Стройгенплан</w:t>
      </w:r>
      <w:r>
        <w:rPr>
          <w:b/>
        </w:rPr>
        <w:t xml:space="preserve"> </w:t>
      </w:r>
      <w:r>
        <w:rPr/>
        <w:t>разработан на возведение надземной части здания с использованием приобъектных складов, расположенных в зоне действия крана.</w:t>
      </w:r>
    </w:p>
    <w:p>
      <w:pPr>
        <w:pStyle w:val="Normal"/>
        <w:ind w:right="-1" w:firstLine="709"/>
        <w:rPr/>
      </w:pPr>
      <w:r>
        <w:rPr/>
        <w:t>На  стройгенплане  нанесены постоянные существующие и проектируемые здания и сооружения, существующие и подлежащие сносу строения, участки для размещения временных инвентарных зданий и сооружений, складов, основные инженерные коммуникации, монтажный  башенный кран КБ-503Б.00 и кран на пневмоходу КС-4361А, постоянные и временные автомобильные дороги.</w:t>
      </w:r>
    </w:p>
    <w:p>
      <w:pPr>
        <w:pStyle w:val="Normal"/>
        <w:ind w:right="-1" w:firstLine="709"/>
        <w:rPr/>
      </w:pPr>
      <w:r>
        <w:rPr/>
        <w:t>Территория строительства ограждается защитно-охранным ограждением. Ограждение предназначено для ограничения доступа посторонних лиц в опасную зону производства работ.</w:t>
      </w:r>
    </w:p>
    <w:p>
      <w:pPr>
        <w:pStyle w:val="Normal"/>
        <w:ind w:right="-1" w:firstLine="709"/>
        <w:rPr/>
      </w:pPr>
      <w:r>
        <w:rPr/>
        <w:t>Въезд на территорию стройплощадки осуществляется по существующей дороге.</w:t>
      </w:r>
    </w:p>
    <w:p>
      <w:pPr>
        <w:pStyle w:val="Normal"/>
        <w:ind w:right="-1" w:firstLine="709"/>
        <w:rPr/>
      </w:pPr>
      <w:r>
        <w:rPr/>
        <w:t>Временные дороги щебёночные, шириной 4,5м и 6,0м.</w:t>
      </w:r>
    </w:p>
    <w:p>
      <w:pPr>
        <w:pStyle w:val="Normal"/>
        <w:ind w:right="-1" w:firstLine="709"/>
        <w:rPr/>
      </w:pPr>
      <w:r>
        <w:rPr/>
        <w:t>На строительной площадке установлено двое ворот шириной 6,0м.</w:t>
      </w:r>
    </w:p>
    <w:p>
      <w:pPr>
        <w:pStyle w:val="Normal"/>
        <w:ind w:right="-1" w:firstLine="709"/>
        <w:rPr/>
      </w:pPr>
      <w:r>
        <w:rPr/>
        <w:t>На выезде со строительной площадки проектом предусмотрена мойка для очистки колес транспорта от грязи.</w:t>
      </w:r>
    </w:p>
    <w:p>
      <w:pPr>
        <w:pStyle w:val="Normal"/>
        <w:ind w:right="-1" w:firstLine="709"/>
        <w:rPr/>
      </w:pPr>
      <w:r>
        <w:rPr/>
        <w:t>Площадки складирования организованы из расчета трёхдневной потребности материалов.</w:t>
      </w:r>
    </w:p>
    <w:p>
      <w:pPr>
        <w:pStyle w:val="Normal"/>
        <w:ind w:right="-1" w:firstLine="709"/>
        <w:rPr/>
      </w:pPr>
      <w:r>
        <w:rPr/>
        <w:t xml:space="preserve">Временные здания и сооружения приняты инвентарные контейнерные и передвижные. </w:t>
      </w:r>
    </w:p>
    <w:p>
      <w:pPr>
        <w:pStyle w:val="Normal"/>
        <w:ind w:right="-1" w:firstLine="709"/>
        <w:rPr/>
      </w:pPr>
      <w:r>
        <w:rPr/>
        <w:t>Бытовые помещения располагаются вплотную друг к другу или на расстоянии 1 м с соблюдением требований пожарной безопасности.</w:t>
      </w:r>
    </w:p>
    <w:p>
      <w:pPr>
        <w:pStyle w:val="Normal"/>
        <w:ind w:right="-1" w:firstLine="709"/>
        <w:rPr/>
      </w:pPr>
      <w:r>
        <w:rPr/>
        <w:t>Временное электроснабжение осуществляется от существующей трансформаторной подстанции по временной схеме, согласно технических условий.</w:t>
      </w:r>
    </w:p>
    <w:p>
      <w:pPr>
        <w:pStyle w:val="Normal"/>
        <w:ind w:right="-1" w:firstLine="709"/>
        <w:rPr/>
      </w:pPr>
      <w:r>
        <w:rPr/>
        <w:t>Временное водоснабжение осуществляется:</w:t>
      </w:r>
    </w:p>
    <w:p>
      <w:pPr>
        <w:pStyle w:val="Normal"/>
        <w:ind w:right="-1" w:firstLine="709"/>
        <w:rPr/>
      </w:pPr>
      <w:r>
        <w:rPr/>
        <w:t>- На нужды пожаротушения – использовать существующий пожарный гидрант.</w:t>
      </w:r>
    </w:p>
    <w:p>
      <w:pPr>
        <w:pStyle w:val="Normal"/>
        <w:ind w:right="-1" w:firstLine="709"/>
        <w:rPr/>
      </w:pPr>
      <w:r>
        <w:rPr/>
        <w:t>- На производственные и хозбытовые нужды – привозная вода с помощью автомобильного бойлера из существующих сетей.</w:t>
      </w:r>
    </w:p>
    <w:p>
      <w:pPr>
        <w:pStyle w:val="Normal"/>
        <w:ind w:right="-1" w:firstLine="709"/>
        <w:rPr/>
      </w:pPr>
      <w:r>
        <w:rPr/>
        <w:t>Для питьевых нужд привозная вода из торговой сети в емкостях 20-25л, газированная и не газированная, имеющая соответствующие сертификаты качества, с наполнением при помощи помпы.Временное теплоснабжение и канализация на период производства работ по прокладке трубопроводов не проектируются. Обогрев временных зданий осуществлять с помощью электричества.На строительной площадке устанавливается биотуалеты.</w:t>
      </w:r>
    </w:p>
    <w:p>
      <w:pPr>
        <w:pStyle w:val="Normal"/>
        <w:ind w:right="-1" w:firstLine="709"/>
        <w:rPr/>
      </w:pPr>
      <w:r>
        <w:rPr/>
        <w:t>Отвод хозяйственно-бытовых стоков на время производства работ   производится в сливные емкости, которые очищаются спец автотранспортом с вывозкой в места утилизации по отдельно заключенному со спец. организациями договору.</w:t>
      </w:r>
    </w:p>
    <w:p>
      <w:pPr>
        <w:pStyle w:val="Normal"/>
        <w:ind w:right="-1" w:firstLine="709"/>
        <w:rPr>
          <w:bCs/>
          <w:color w:val="000000" w:themeColor="text1"/>
          <w:highlight w:val="yellow"/>
        </w:rPr>
      </w:pPr>
      <w:r>
        <w:rPr>
          <w:bCs/>
          <w:color w:val="000000" w:themeColor="text1"/>
          <w:highlight w:val="yellow"/>
        </w:rPr>
      </w:r>
    </w:p>
    <w:p>
      <w:pPr>
        <w:pStyle w:val="Normal"/>
        <w:ind w:right="-1" w:firstLine="709"/>
        <w:rPr>
          <w:bCs/>
          <w:color w:val="000000" w:themeColor="text1"/>
          <w:highlight w:val="yellow"/>
        </w:rPr>
      </w:pPr>
      <w:r>
        <w:rPr>
          <w:bCs/>
          <w:color w:val="000000" w:themeColor="text1"/>
          <w:highlight w:val="yellow"/>
        </w:rPr>
      </w:r>
    </w:p>
    <w:p>
      <w:pPr>
        <w:pStyle w:val="Normal"/>
        <w:widowControl/>
        <w:ind w:right="-1" w:hanging="0"/>
        <w:rPr>
          <w:rFonts w:eastAsia="Times New Roman"/>
          <w:b/>
          <w:b/>
          <w:color w:val="000000" w:themeColor="text1"/>
          <w:highlight w:val="yellow"/>
        </w:rPr>
      </w:pPr>
      <w:r>
        <w:rPr>
          <w:rFonts w:eastAsia="Times New Roman"/>
          <w:b/>
          <w:color w:val="000000" w:themeColor="text1"/>
        </w:rPr>
        <w:t>3.2.6. Перечень мероприятий по охране окружающей среды</w:t>
      </w:r>
    </w:p>
    <w:p>
      <w:pPr>
        <w:pStyle w:val="Normal"/>
        <w:widowControl/>
        <w:ind w:right="-1" w:firstLine="709"/>
        <w:rPr>
          <w:rFonts w:eastAsia="Times New Roman"/>
          <w:b/>
          <w:b/>
          <w:color w:val="000000" w:themeColor="text1"/>
          <w:highlight w:val="yellow"/>
        </w:rPr>
      </w:pPr>
      <w:r>
        <w:rPr>
          <w:rFonts w:eastAsia="Times New Roman"/>
          <w:b/>
          <w:color w:val="000000" w:themeColor="text1"/>
          <w:highlight w:val="yellow"/>
        </w:rPr>
      </w:r>
    </w:p>
    <w:p>
      <w:pPr>
        <w:pStyle w:val="Normal"/>
        <w:widowControl/>
        <w:ind w:right="-1" w:firstLine="709"/>
        <w:rPr/>
      </w:pPr>
      <w:r>
        <w:rPr/>
        <w:t>Участок строительства не находится на территории санитарно-защитных зон промышленных предприятий. Особо охраняемые природные территории, зоны санитарной охраны водоисточников, виды растений и животных, занесенных в Красную книгу, на участке отсутствуют. Участок застройки расположен вне границ водоохранных зон поверхностных водных объектов. Ближайший поверхностный водный объект – Куйбышевское водохранилище расположено к югу от участка проектирования на расстоянии 564 м.</w:t>
      </w:r>
    </w:p>
    <w:p>
      <w:pPr>
        <w:pStyle w:val="Normal"/>
        <w:widowControl/>
        <w:ind w:right="-1" w:firstLine="709"/>
        <w:rPr>
          <w:rFonts w:eastAsia="Calibri" w:eastAsiaTheme="minorHAnsi"/>
          <w:lang w:eastAsia="en-US"/>
        </w:rPr>
      </w:pPr>
      <w:r>
        <w:rPr>
          <w:rFonts w:eastAsia="Calibri" w:eastAsiaTheme="minorHAnsi"/>
          <w:lang w:eastAsia="en-US"/>
        </w:rPr>
        <w:t xml:space="preserve">Местоположение земельного участка: Самарская обл., г. Тольятти, Автозаводский район, ул. Юбилейная.  Участок работ расположен в Автозаводском районе вблизи пересечения улицы Революционной и улицы Спортивной. К северу расположены ранее спроектированные дома поз. 1, 2, 3. Расстояние от границы участка проектирования жилого дома поз. 4 до ближайшего жилого дома (ранее спроектированного поз. 3) составляет 8 м. К северо-востоку от участка на расстоянии 366 м расположен дворец спорта «Волгарь». К востоку находится улица Юбилейная и далее – жилой микрорайон. К востоку от участка на расстоянии 50 м расположен ТРК «Вега». К югу от участка на расстоянии 28 м расположена автодорога по ул. Спортивной. К западу от участка расположена улица Революционная. К северо-западу расположен стадион «Торпедо». Расчетная СЗЗ для стадиона «Торпедо» в юго-восточной части его территории составляет 87 м (экспертное заключение ФБУЗ «Центр гигиены и эпидемиологии в Самарской области» от 10.02.2015 г №448). Расстояние от границы участка проектирования до границы территории стадиона «Торпедо» составляет 141 м, до границы расчётной СЗЗ составляет 52 м. </w:t>
      </w:r>
    </w:p>
    <w:p>
      <w:pPr>
        <w:pStyle w:val="Normal"/>
        <w:widowControl/>
        <w:ind w:right="-1" w:firstLine="709"/>
        <w:rPr>
          <w:rFonts w:eastAsia="Calibri" w:eastAsiaTheme="minorHAnsi"/>
          <w:lang w:eastAsia="en-US"/>
        </w:rPr>
      </w:pPr>
      <w:r>
        <w:rPr>
          <w:rFonts w:eastAsia="Calibri" w:eastAsiaTheme="minorHAnsi"/>
          <w:lang w:eastAsia="en-US"/>
        </w:rPr>
        <w:t>На придомовой территории предусмотрены гостевые автостоянки. В соответствии с п.7.1.12 СанПиН 2.2.1/2.1.1.1200-03 для гостевых автостоянок жилых домов санитарные разрывы не устанавливаются.</w:t>
      </w:r>
    </w:p>
    <w:p>
      <w:pPr>
        <w:pStyle w:val="Normal"/>
        <w:widowControl/>
        <w:ind w:right="-1" w:firstLine="709"/>
        <w:rPr>
          <w:rFonts w:eastAsia="Calibri" w:eastAsiaTheme="minorHAnsi"/>
          <w:lang w:eastAsia="en-US"/>
        </w:rPr>
      </w:pPr>
      <w:r>
        <w:rPr>
          <w:rFonts w:eastAsia="Calibri" w:eastAsiaTheme="minorHAnsi"/>
          <w:lang w:eastAsia="en-US"/>
        </w:rPr>
        <w:t>Ежедневные наблюдения за загрязнением атмосферы в Автозаводском районе проводятся на стационарных постах наблюдения № 7 (ул. Ботаническая, 12) и № 8 (ул. С. Разина, восточнее д.26). Фоновые концентрации вредных веществ в атмосфере населенного пункта не превышают гигиенических норм.</w:t>
      </w:r>
    </w:p>
    <w:p>
      <w:pPr>
        <w:pStyle w:val="Normal"/>
        <w:widowControl/>
        <w:ind w:right="-1" w:firstLine="709"/>
        <w:rPr>
          <w:rFonts w:eastAsia="Calibri" w:eastAsiaTheme="minorHAnsi"/>
          <w:lang w:eastAsia="en-US"/>
        </w:rPr>
      </w:pPr>
      <w:r>
        <w:rPr>
          <w:rFonts w:eastAsia="Calibri" w:eastAsiaTheme="minorHAnsi"/>
          <w:lang w:eastAsia="en-US"/>
        </w:rPr>
        <w:t>В период эксплуатации выбросами в атмосферу сопровождается работа двигателей внутреннего сгорания автотранспорта на проектируемых автостоянках.</w:t>
      </w:r>
    </w:p>
    <w:p>
      <w:pPr>
        <w:pStyle w:val="Normal"/>
        <w:widowControl/>
        <w:ind w:right="-1" w:firstLine="709"/>
        <w:rPr>
          <w:rFonts w:eastAsia="Calibri" w:eastAsiaTheme="minorHAnsi"/>
          <w:lang w:eastAsia="en-US"/>
        </w:rPr>
      </w:pPr>
      <w:r>
        <w:rPr>
          <w:rFonts w:eastAsia="Calibri" w:eastAsiaTheme="minorHAnsi"/>
          <w:lang w:eastAsia="en-US"/>
        </w:rPr>
        <w:t xml:space="preserve">Выброс загрязняющих веществ составит: 0,808620 г/с; 0,980330 т/год. </w:t>
      </w:r>
    </w:p>
    <w:p>
      <w:pPr>
        <w:pStyle w:val="Normal"/>
        <w:widowControl/>
        <w:ind w:right="-1" w:firstLine="709"/>
        <w:rPr>
          <w:rFonts w:eastAsia="Calibri" w:eastAsiaTheme="minorHAnsi"/>
          <w:lang w:eastAsia="en-US"/>
        </w:rPr>
      </w:pPr>
      <w:r>
        <w:rPr>
          <w:rFonts w:eastAsia="Calibri" w:eastAsiaTheme="minorHAnsi"/>
          <w:lang w:eastAsia="en-US"/>
        </w:rPr>
        <w:t>Расчет рассеивания вредных веществ в атмосфере выполнен с использованием УПРЗА ЭКОЛОГ, версия 3.0, разработанной фирмой «Интеграл», г.С-Петербург. Учтена фоновая концентрация вредных веществ в атмосфере населенного пункта.</w:t>
      </w:r>
    </w:p>
    <w:p>
      <w:pPr>
        <w:pStyle w:val="Normal"/>
        <w:widowControl/>
        <w:ind w:right="-1" w:firstLine="709"/>
        <w:rPr>
          <w:rFonts w:eastAsia="Calibri" w:eastAsiaTheme="minorHAnsi"/>
          <w:lang w:eastAsia="en-US"/>
        </w:rPr>
      </w:pPr>
      <w:r>
        <w:rPr>
          <w:rFonts w:eastAsia="Calibri" w:eastAsiaTheme="minorHAnsi"/>
          <w:lang w:eastAsia="en-US"/>
        </w:rPr>
        <w:t xml:space="preserve">Анализ результатов расчета загрязнения показывает, что приземные концентрации всех загрязняющих веществ на проектируемое положение составляют менее 1 ПДК, установленных Минздравом РФ для воздуха населенных мест. Максимальная концентрация в расчётных точках на границе жилой зоны с учётом фона составит: </w:t>
      </w:r>
    </w:p>
    <w:p>
      <w:pPr>
        <w:pStyle w:val="Normal"/>
        <w:widowControl/>
        <w:ind w:right="-1" w:firstLine="709"/>
        <w:rPr>
          <w:rFonts w:eastAsia="Calibri" w:eastAsiaTheme="minorHAnsi"/>
          <w:lang w:eastAsia="en-US"/>
        </w:rPr>
      </w:pPr>
      <w:r>
        <w:rPr>
          <w:rFonts w:eastAsia="Calibri" w:eastAsiaTheme="minorHAnsi"/>
          <w:lang w:eastAsia="en-US"/>
        </w:rPr>
        <w:t xml:space="preserve">- по диоксиду азота 0,52 ПДК; </w:t>
      </w:r>
    </w:p>
    <w:p>
      <w:pPr>
        <w:pStyle w:val="Normal"/>
        <w:widowControl/>
        <w:ind w:right="-1" w:firstLine="709"/>
        <w:rPr>
          <w:rFonts w:eastAsia="Calibri" w:eastAsiaTheme="minorHAnsi"/>
          <w:lang w:eastAsia="en-US"/>
        </w:rPr>
      </w:pPr>
      <w:r>
        <w:rPr>
          <w:rFonts w:eastAsia="Calibri" w:eastAsiaTheme="minorHAnsi"/>
          <w:lang w:eastAsia="en-US"/>
        </w:rPr>
        <w:t>- по оксиду углерода 0,68 ПДК.</w:t>
      </w:r>
    </w:p>
    <w:p>
      <w:pPr>
        <w:pStyle w:val="Normal"/>
        <w:widowControl/>
        <w:ind w:right="-1" w:firstLine="709"/>
        <w:rPr>
          <w:rFonts w:eastAsia="Calibri" w:eastAsiaTheme="minorHAnsi"/>
          <w:lang w:eastAsia="en-US"/>
        </w:rPr>
      </w:pPr>
      <w:r>
        <w:rPr>
          <w:rFonts w:eastAsia="Calibri" w:eastAsiaTheme="minorHAnsi"/>
          <w:lang w:eastAsia="en-US"/>
        </w:rPr>
        <w:t xml:space="preserve">Расчет уровня шума выполнен в соответствии с требованиями СП 51.13330.2011 и СН 2.2.4/2.1.8.562-96 с использованием программного обеспечения «Эколог-Шум 2.1», разработанной фирмой «Интеграл», С-Петербург. Значительный вклад в шумовое загрязнение территории проектируемого объекта вносят автодороги, примыкающие к участку. Расчетный уровень шума в расчетных точках в 2 м от ограждающих конструкций жилых домов, обращенных в сторону автодорог, находится в пределах 65 дБА в дневное время и 55 дБА в ночное время, что не превышает санитарных норм, с учетом поправки +10 дБА, согласно таблице 3 СН 2.2.4/2.1.8.562-96. </w:t>
      </w:r>
    </w:p>
    <w:p>
      <w:pPr>
        <w:pStyle w:val="Normal"/>
        <w:widowControl/>
        <w:ind w:right="-1" w:firstLine="709"/>
        <w:rPr>
          <w:rFonts w:eastAsia="Calibri" w:eastAsiaTheme="minorHAnsi"/>
          <w:lang w:eastAsia="en-US"/>
        </w:rPr>
      </w:pPr>
      <w:r>
        <w:rPr>
          <w:rFonts w:eastAsia="Calibri" w:eastAsiaTheme="minorHAnsi"/>
          <w:lang w:eastAsia="en-US"/>
        </w:rPr>
        <w:t xml:space="preserve">Защиту от шума в помещениях проектируемого здания обеспечивает остекление оконных проёмов пластиковыми стеклопакетами, снижающими уровень шума от внешних источников до нормативных значений при открытой форточке, узкой фрамуге в соответствии с требованиями санитарных норм. </w:t>
      </w:r>
    </w:p>
    <w:p>
      <w:pPr>
        <w:pStyle w:val="Normal"/>
        <w:widowControl/>
        <w:ind w:right="-1" w:firstLine="709"/>
        <w:rPr>
          <w:rFonts w:eastAsia="Calibri" w:eastAsiaTheme="minorHAnsi"/>
          <w:lang w:eastAsia="en-US"/>
        </w:rPr>
      </w:pPr>
      <w:r>
        <w:rPr>
          <w:rFonts w:eastAsia="Calibri" w:eastAsiaTheme="minorHAnsi"/>
          <w:lang w:eastAsia="en-US"/>
        </w:rPr>
        <w:t xml:space="preserve">Для снижения акустического воздействия при ведении строительно-монтажных работ предусмотрено использование глушителей шума для двигателей, звукоизоляция двигателей строительных и дорожных машин при помощи защитных кожухов и капотов с многослойными покрытиями и ведение всех строительных работ только в дневное время суток. </w:t>
      </w:r>
    </w:p>
    <w:p>
      <w:pPr>
        <w:pStyle w:val="Normal"/>
        <w:widowControl/>
        <w:ind w:right="-1" w:firstLine="709"/>
        <w:rPr>
          <w:rFonts w:eastAsia="Calibri" w:eastAsiaTheme="minorHAnsi"/>
          <w:lang w:eastAsia="en-US"/>
        </w:rPr>
      </w:pPr>
      <w:r>
        <w:rPr>
          <w:rFonts w:eastAsia="Calibri" w:eastAsiaTheme="minorHAnsi"/>
          <w:lang w:eastAsia="en-US"/>
        </w:rPr>
        <w:t xml:space="preserve">Выброс загрязняющих веществ составит весь период строительства (52 месяца); 0,310946 г/с; 36,340638 т. </w:t>
      </w:r>
    </w:p>
    <w:p>
      <w:pPr>
        <w:pStyle w:val="Normal"/>
        <w:widowControl/>
        <w:ind w:right="-1" w:firstLine="709"/>
        <w:rPr>
          <w:rFonts w:eastAsia="Calibri" w:eastAsiaTheme="minorHAnsi"/>
          <w:lang w:eastAsia="en-US"/>
        </w:rPr>
      </w:pPr>
      <w:r>
        <w:rPr>
          <w:rFonts w:eastAsia="Calibri" w:eastAsiaTheme="minorHAnsi"/>
          <w:lang w:eastAsia="en-US"/>
        </w:rPr>
        <w:t xml:space="preserve">Загрязнение атмосферного воздуха не вызовет превышения санитарных норм: </w:t>
      </w:r>
    </w:p>
    <w:p>
      <w:pPr>
        <w:pStyle w:val="Normal"/>
        <w:widowControl/>
        <w:ind w:right="-1" w:firstLine="709"/>
        <w:rPr>
          <w:rFonts w:eastAsia="Calibri" w:eastAsiaTheme="minorHAnsi"/>
          <w:lang w:eastAsia="en-US"/>
        </w:rPr>
      </w:pPr>
      <w:r>
        <w:rPr>
          <w:rFonts w:eastAsia="Calibri" w:eastAsiaTheme="minorHAnsi"/>
          <w:lang w:eastAsia="en-US"/>
        </w:rPr>
        <w:t xml:space="preserve">- концентрация загрязняющих веществ на границе жилой застройки в период строительства будет находиться в пределах 1 ПДК. </w:t>
      </w:r>
    </w:p>
    <w:p>
      <w:pPr>
        <w:pStyle w:val="Normal"/>
        <w:widowControl/>
        <w:ind w:right="-1" w:firstLine="709"/>
        <w:rPr>
          <w:rFonts w:eastAsia="Calibri" w:eastAsiaTheme="minorHAnsi"/>
          <w:lang w:eastAsia="en-US"/>
        </w:rPr>
      </w:pPr>
      <w:r>
        <w:rPr>
          <w:rFonts w:eastAsia="Calibri" w:eastAsiaTheme="minorHAnsi"/>
          <w:lang w:eastAsia="en-US"/>
        </w:rPr>
        <w:t xml:space="preserve">Максимальная концентрация в расчётных точках на границе жилой зоны с учётом фона составит: </w:t>
      </w:r>
    </w:p>
    <w:p>
      <w:pPr>
        <w:pStyle w:val="Normal"/>
        <w:widowControl/>
        <w:ind w:right="-1" w:firstLine="709"/>
        <w:rPr>
          <w:rFonts w:eastAsia="Calibri" w:eastAsiaTheme="minorHAnsi"/>
          <w:lang w:eastAsia="en-US"/>
        </w:rPr>
      </w:pPr>
      <w:r>
        <w:rPr>
          <w:rFonts w:eastAsia="Calibri" w:eastAsiaTheme="minorHAnsi"/>
          <w:lang w:eastAsia="en-US"/>
        </w:rPr>
        <w:t xml:space="preserve">- по диоксиду азота 0,75 ПДК (1 этап); 0,81 ПДК (2 этап); </w:t>
      </w:r>
    </w:p>
    <w:p>
      <w:pPr>
        <w:pStyle w:val="Normal"/>
        <w:widowControl/>
        <w:ind w:right="-1" w:firstLine="709"/>
        <w:rPr>
          <w:rFonts w:eastAsia="Calibri" w:eastAsiaTheme="minorHAnsi"/>
          <w:lang w:eastAsia="en-US"/>
        </w:rPr>
      </w:pPr>
      <w:r>
        <w:rPr>
          <w:rFonts w:eastAsia="Calibri" w:eastAsiaTheme="minorHAnsi"/>
          <w:lang w:eastAsia="en-US"/>
        </w:rPr>
        <w:t>- по оксиду углерода 0,54 ПДК (1 этап); 0,54 ПДК (2 этап).</w:t>
      </w:r>
    </w:p>
    <w:p>
      <w:pPr>
        <w:pStyle w:val="Normal"/>
        <w:widowControl/>
        <w:ind w:right="-1" w:firstLine="709"/>
        <w:rPr>
          <w:rFonts w:eastAsia="Calibri" w:eastAsiaTheme="minorHAnsi"/>
          <w:color w:val="FF0000"/>
          <w:lang w:eastAsia="en-US"/>
        </w:rPr>
      </w:pPr>
      <w:r>
        <w:rPr>
          <w:rFonts w:eastAsia="Calibri" w:eastAsiaTheme="minorHAnsi"/>
          <w:lang w:eastAsia="en-US"/>
        </w:rPr>
        <w:t xml:space="preserve"> </w:t>
      </w:r>
      <w:r>
        <w:rPr>
          <w:rFonts w:eastAsia="Calibri" w:eastAsiaTheme="minorHAnsi"/>
          <w:lang w:eastAsia="en-US"/>
        </w:rPr>
        <w:t>Воздействие на атмосферный воздух в период строительства носит временный характер и не повлечет ухудшение его качества при выполнении мероприятий, предусмотренных проектом.</w:t>
      </w:r>
      <w:r>
        <w:rPr>
          <w:rFonts w:eastAsia="Calibri" w:eastAsiaTheme="minorHAnsi"/>
          <w:color w:val="FF0000"/>
          <w:lang w:eastAsia="en-US"/>
        </w:rPr>
        <w:t xml:space="preserve"> </w:t>
      </w:r>
    </w:p>
    <w:p>
      <w:pPr>
        <w:pStyle w:val="Normal"/>
        <w:widowControl/>
        <w:ind w:right="-1" w:firstLine="709"/>
        <w:rPr>
          <w:lang w:eastAsia="en-US"/>
        </w:rPr>
      </w:pPr>
      <w:r>
        <w:rPr>
          <w:lang w:eastAsia="en-US"/>
        </w:rPr>
        <w:t xml:space="preserve">В период строительства образуются отходы жизнедеятельности рабочих, строительные отходы общим количеством 303,981 т, в т.ч. </w:t>
      </w:r>
      <w:r>
        <w:rPr>
          <w:lang w:val="en-US" w:eastAsia="en-US"/>
        </w:rPr>
        <w:t>IV</w:t>
      </w:r>
      <w:r>
        <w:rPr>
          <w:lang w:eastAsia="en-US"/>
        </w:rPr>
        <w:t xml:space="preserve"> класса – 236,884 т, 5 класса – 67,097 т. </w:t>
      </w:r>
    </w:p>
    <w:p>
      <w:pPr>
        <w:pStyle w:val="Normal"/>
        <w:widowControl/>
        <w:ind w:right="-1" w:firstLine="709"/>
        <w:rPr>
          <w:rFonts w:eastAsia="Calibri" w:eastAsiaTheme="minorHAnsi"/>
          <w:lang w:eastAsia="en-US"/>
        </w:rPr>
      </w:pPr>
      <w:r>
        <w:rPr>
          <w:rFonts w:eastAsia="Calibri" w:eastAsiaTheme="minorHAnsi"/>
          <w:lang w:eastAsia="en-US"/>
        </w:rPr>
        <w:t xml:space="preserve">Подлежащие захоронению отходы вывозятся на полигон ТБО. Их накопление предусмотрено в герметичном контейнере. Отходы, подлежащие передаче на обезвреживание или переработку, накапливаются в контейнерах раздельно по видам отходов. Контейнеры для отходов располагаются в пределах площадки строительства. </w:t>
      </w:r>
    </w:p>
    <w:p>
      <w:pPr>
        <w:pStyle w:val="Normal"/>
        <w:widowControl/>
        <w:ind w:right="-1" w:firstLine="709"/>
        <w:rPr>
          <w:lang w:eastAsia="en-US"/>
        </w:rPr>
      </w:pPr>
      <w:r>
        <w:rPr>
          <w:lang w:eastAsia="en-US"/>
        </w:rPr>
        <w:t xml:space="preserve">При эксплуатации жилого дома образуются отходы общим количеством 354,285 т/год, в т.ч. отходы </w:t>
      </w:r>
      <w:r>
        <w:rPr>
          <w:lang w:val="en-US" w:eastAsia="en-US"/>
        </w:rPr>
        <w:t>I</w:t>
      </w:r>
      <w:r>
        <w:rPr>
          <w:lang w:eastAsia="en-US"/>
        </w:rPr>
        <w:t xml:space="preserve"> класса опасности – 0,018 т/год; отходы </w:t>
      </w:r>
      <w:r>
        <w:rPr>
          <w:lang w:val="en-US" w:eastAsia="en-US"/>
        </w:rPr>
        <w:t>IV</w:t>
      </w:r>
      <w:r>
        <w:rPr>
          <w:lang w:eastAsia="en-US"/>
        </w:rPr>
        <w:t xml:space="preserve"> класса опасности – 327,576 т/год; отходы </w:t>
      </w:r>
      <w:r>
        <w:rPr>
          <w:lang w:val="en-US" w:eastAsia="en-US"/>
        </w:rPr>
        <w:t>V</w:t>
      </w:r>
      <w:r>
        <w:rPr>
          <w:lang w:eastAsia="en-US"/>
        </w:rPr>
        <w:t xml:space="preserve"> класса опасности – 26.691 т/год. Отходы </w:t>
      </w:r>
      <w:r>
        <w:rPr>
          <w:lang w:val="en-US" w:eastAsia="en-US"/>
        </w:rPr>
        <w:t>I</w:t>
      </w:r>
      <w:r>
        <w:rPr>
          <w:lang w:eastAsia="en-US"/>
        </w:rPr>
        <w:t xml:space="preserve"> класса представлены отработанными ртутьсодержащими лампами. Отходы </w:t>
      </w:r>
      <w:r>
        <w:rPr>
          <w:lang w:val="en-US" w:eastAsia="en-US"/>
        </w:rPr>
        <w:t>IV</w:t>
      </w:r>
      <w:r>
        <w:rPr>
          <w:lang w:eastAsia="en-US"/>
        </w:rPr>
        <w:t xml:space="preserve">, </w:t>
      </w:r>
      <w:r>
        <w:rPr>
          <w:lang w:val="en-US" w:eastAsia="en-US"/>
        </w:rPr>
        <w:t>V</w:t>
      </w:r>
      <w:r>
        <w:rPr>
          <w:lang w:eastAsia="en-US"/>
        </w:rPr>
        <w:t xml:space="preserve"> классов – твердые коммунальные отходы (ТКО).</w:t>
      </w:r>
    </w:p>
    <w:p>
      <w:pPr>
        <w:pStyle w:val="Normal"/>
        <w:widowControl/>
        <w:ind w:right="-1" w:firstLine="709"/>
        <w:rPr>
          <w:lang w:eastAsia="en-US"/>
        </w:rPr>
      </w:pPr>
      <w:r>
        <w:rPr>
          <w:lang w:eastAsia="en-US"/>
        </w:rPr>
        <w:t xml:space="preserve">Передаче на размещение на полигон подлежат – 354,267 т отходов. Отходы </w:t>
      </w:r>
      <w:r>
        <w:rPr>
          <w:lang w:val="en-US" w:eastAsia="en-US"/>
        </w:rPr>
        <w:t>I</w:t>
      </w:r>
      <w:r>
        <w:rPr>
          <w:lang w:eastAsia="en-US"/>
        </w:rPr>
        <w:t xml:space="preserve"> класса передаются на обезвреживание в специализированные лицензированные организации.</w:t>
      </w:r>
    </w:p>
    <w:p>
      <w:pPr>
        <w:pStyle w:val="Normal"/>
        <w:widowControl/>
        <w:ind w:right="-1" w:firstLine="709"/>
        <w:rPr>
          <w:lang w:eastAsia="en-US"/>
        </w:rPr>
      </w:pPr>
      <w:r>
        <w:rPr>
          <w:lang w:eastAsia="en-US"/>
        </w:rPr>
        <w:t xml:space="preserve">Жилой дом оборудован мусоропроводом. В нижней части здания располагается помещение для временного хранения отходов от жилых помещений в контейнерах на колесах – мусоросборная камера. Проектом предусмотрена также контейнерная площадка. Накопление твердых коммунальных отходов предусмотрено в стандартных контейнерах на колесах. Площадка расположена и оборудована в соответствии с санитарными нормами. Отходы вывозятся спецавтотранспортом лицензированной организации на захоронение на полигон ТБО по договору. </w:t>
      </w:r>
    </w:p>
    <w:p>
      <w:pPr>
        <w:pStyle w:val="Normal"/>
        <w:widowControl/>
        <w:ind w:right="-1" w:firstLine="709"/>
        <w:rPr>
          <w:rFonts w:eastAsia="Calibri" w:eastAsiaTheme="minorHAnsi"/>
          <w:lang w:eastAsia="en-US"/>
        </w:rPr>
      </w:pPr>
      <w:r>
        <w:rPr>
          <w:rFonts w:eastAsia="Calibri" w:eastAsiaTheme="minorHAnsi"/>
          <w:lang w:eastAsia="en-US"/>
        </w:rPr>
        <w:t xml:space="preserve">Накопление обработанных ртутных ламп осуществляется в отдельном помещении с ограниченным доступом, при наличии средств ликвидации аварийной ситуации на стеллаже в заводской картонной упаковке в количестве не более 30 шт. </w:t>
      </w:r>
    </w:p>
    <w:p>
      <w:pPr>
        <w:pStyle w:val="Normal"/>
        <w:widowControl/>
        <w:ind w:right="-1" w:firstLine="709"/>
        <w:rPr>
          <w:rFonts w:eastAsia="Calibri" w:eastAsiaTheme="minorHAnsi"/>
          <w:lang w:eastAsia="en-US"/>
        </w:rPr>
      </w:pPr>
      <w:r>
        <w:rPr>
          <w:rFonts w:eastAsia="Calibri" w:eastAsiaTheme="minorHAnsi"/>
          <w:lang w:eastAsia="en-US"/>
        </w:rPr>
        <w:t xml:space="preserve">Мероприятиями по снижению воздействия отходов на окружающую среду являются: селективное накопление отходов, регулярная санитарная уборка территории, обеспечение мест накопления отходов средствами пожаротушения и ликвидации аварийной ситуации, своевременное обновление и перезаключение договоров на передачу отходов. </w:t>
      </w:r>
    </w:p>
    <w:p>
      <w:pPr>
        <w:pStyle w:val="Normal"/>
        <w:widowControl/>
        <w:ind w:right="-1" w:firstLine="709"/>
        <w:rPr>
          <w:rFonts w:eastAsia="Calibri" w:eastAsiaTheme="minorHAnsi"/>
          <w:lang w:eastAsia="en-US"/>
        </w:rPr>
      </w:pPr>
      <w:r>
        <w:rPr>
          <w:rFonts w:eastAsia="Calibri" w:eastAsiaTheme="minorHAnsi"/>
          <w:lang w:eastAsia="en-US"/>
        </w:rPr>
        <w:t>Участок строительства находится в пределах 3-го пояса зоны санитарной охраны водозабора «Соцгородской».</w:t>
      </w:r>
      <w:r>
        <w:rPr>
          <w:bCs/>
          <w:iCs/>
        </w:rPr>
        <w:t xml:space="preserve"> </w:t>
      </w:r>
      <w:r>
        <w:rPr>
          <w:rFonts w:eastAsia="Calibri" w:eastAsiaTheme="minorHAnsi"/>
          <w:bCs/>
          <w:iCs/>
          <w:lang w:eastAsia="en-US"/>
        </w:rPr>
        <w:t>Проектом предусмотрены мероприятия, направленные на сохранение постоянства природного состава воды в водозаборе путем устранения и предупреждения возможности ее загрязнения.</w:t>
      </w:r>
    </w:p>
    <w:p>
      <w:pPr>
        <w:pStyle w:val="Normal"/>
        <w:widowControl/>
        <w:ind w:right="-1" w:firstLine="709"/>
        <w:rPr>
          <w:rFonts w:eastAsia="Calibri" w:eastAsiaTheme="minorHAnsi"/>
          <w:lang w:eastAsia="en-US"/>
        </w:rPr>
      </w:pPr>
      <w:r>
        <w:rPr>
          <w:rFonts w:eastAsia="Calibri" w:eastAsiaTheme="minorHAnsi"/>
          <w:lang w:eastAsia="en-US"/>
        </w:rPr>
        <w:t>Водоснабжение и канализование объекта предусмотрено с подключением к городским сетям. Поверхностный сток с территории жилой застройки не содержит специфических загрязняющих веществ. Загрязненность поверхностного стока зависит от санитарного состояния территории. Организация регулярной уборки территории и проведение своевременного ремонта дорожных покрытий исключит негативное влияние на состояние почвенного покрова и подземных вод. Сброс поверхностных стоков предусмотрен в сети дождевой канализации.</w:t>
      </w:r>
    </w:p>
    <w:p>
      <w:pPr>
        <w:pStyle w:val="Normal"/>
        <w:widowControl/>
        <w:ind w:right="-1" w:firstLine="709"/>
        <w:rPr>
          <w:rFonts w:eastAsia="Calibri" w:eastAsiaTheme="minorHAnsi"/>
          <w:lang w:eastAsia="en-US"/>
        </w:rPr>
      </w:pPr>
      <w:r>
        <w:rPr>
          <w:rFonts w:eastAsia="Calibri" w:eastAsiaTheme="minorHAnsi"/>
          <w:lang w:eastAsia="en-US"/>
        </w:rPr>
        <w:t>На выезде с площадки строительства предусмотрена установка мойки колес автотранспорта. Стоки от мойки колес собираются в герметичную емкость с последующим вывозом на очистные сооружения. Сброс производственных стоков на рельеф в период строительства исключен. Водоснабжение при строительстве осуществляется привозной водой. Питьевой режим работающих обеспечивается путем доставки воды питьевого качества. Сбор хозяйственно-бытовых стоков от душевых в период строительства осуществляется в герметичные емкости, установленные около временных бытовых помещений, предусмотрена установка биотуалетов. Обслуживание биотуалетов производится спецорганизацией по договору. Хозяйственно-бытовые стоки вывозятся спецавтотранспортом на очистные сооружения.</w:t>
      </w:r>
    </w:p>
    <w:p>
      <w:pPr>
        <w:pStyle w:val="Normal"/>
        <w:widowControl/>
        <w:ind w:right="-1" w:firstLine="709"/>
        <w:rPr>
          <w:rFonts w:eastAsia="Calibri" w:eastAsiaTheme="minorHAnsi"/>
          <w:color w:val="FF0000"/>
          <w:lang w:eastAsia="en-US"/>
        </w:rPr>
      </w:pPr>
      <w:r>
        <w:rPr>
          <w:rFonts w:eastAsia="Calibri" w:eastAsiaTheme="minorHAnsi"/>
          <w:lang w:eastAsia="en-US"/>
        </w:rPr>
        <w:t xml:space="preserve">Проектом предусмотрена рекультивация и благоустройство нарушенных в ходе строительства земель, восстановление нарушенных участков озеленения, дорожного покрытия попадающих в зону застройки и проектируемых сетей. После завершения планировочных и строительно-монтажных работ на восстанавливаемую поверхность участка (площадь озеленения) наносят из резерва плодородный слой почвы и проводят озеленение территории. Плодородный грунт привозной. Свободные от застройки и покрытий территории озеленяются посадкой деревьев, кустарников, устройством газона. </w:t>
      </w:r>
    </w:p>
    <w:p>
      <w:pPr>
        <w:pStyle w:val="Normal"/>
        <w:ind w:right="-1" w:firstLine="709"/>
        <w:rPr/>
      </w:pPr>
      <w:r>
        <w:rPr/>
        <w:t>В целях предупреждения истощения земельных ресурсов, загрязнения поверхностных и грунтовых вод, сверхнормативного загрязнения атмосферного воздуха, а также во избежание превышений допустимого уровня шума на территории жилой застройки в процессе строительства предусматривается комплекс необходимых природоохранных мероприятий:</w:t>
      </w:r>
    </w:p>
    <w:p>
      <w:pPr>
        <w:pStyle w:val="Normal"/>
        <w:ind w:right="-1" w:firstLine="709"/>
        <w:rPr/>
      </w:pPr>
      <w:r>
        <w:rPr>
          <w:rFonts w:eastAsia="Symbol" w:cs="Symbol" w:ascii="Symbol" w:hAnsi="Symbol"/>
        </w:rPr>
        <w:t></w:t>
      </w:r>
      <w:r>
        <w:rPr/>
        <w:t xml:space="preserve"> </w:t>
      </w:r>
      <w:r>
        <w:rPr/>
        <w:t xml:space="preserve">организация строительной площадки и установление ограждения; </w:t>
      </w:r>
    </w:p>
    <w:p>
      <w:pPr>
        <w:pStyle w:val="Normal"/>
        <w:ind w:right="-1" w:firstLine="709"/>
        <w:rPr/>
      </w:pPr>
      <w:r>
        <w:rPr/>
        <w:t>- производство всех видов работ производится только в пределах строительной площадки.</w:t>
      </w:r>
    </w:p>
    <w:p>
      <w:pPr>
        <w:pStyle w:val="Normal"/>
        <w:ind w:right="-1" w:firstLine="709"/>
        <w:rPr/>
      </w:pPr>
      <w:r>
        <w:rPr/>
        <w:t>- заправка землеройно-транспортных машин дизтопливом производится автозаправщиком только на специально выделенной площадке – стоянке во избежание загрязнений территории.</w:t>
      </w:r>
    </w:p>
    <w:p>
      <w:pPr>
        <w:pStyle w:val="Normal"/>
        <w:ind w:right="-1" w:firstLine="709"/>
        <w:rPr/>
      </w:pPr>
      <w:r>
        <w:rPr>
          <w:rFonts w:eastAsia="Symbol" w:cs="Symbol" w:ascii="Symbol" w:hAnsi="Symbol"/>
        </w:rPr>
        <w:t></w:t>
      </w:r>
      <w:r>
        <w:rPr/>
        <w:t xml:space="preserve"> </w:t>
      </w:r>
      <w:r>
        <w:rPr/>
        <w:t xml:space="preserve">возведение временных автомобильных дорог с твердым покрытием, во избежание загрязнения прилегающей жилой территории; </w:t>
      </w:r>
    </w:p>
    <w:p>
      <w:pPr>
        <w:pStyle w:val="Normal"/>
        <w:ind w:right="-1" w:firstLine="709"/>
        <w:rPr/>
      </w:pPr>
      <w:r>
        <w:rPr/>
        <w:t xml:space="preserve">- проезд транспорта предусмотрен только по временным и постоянным дорогам. </w:t>
      </w:r>
    </w:p>
    <w:p>
      <w:pPr>
        <w:pStyle w:val="Normal"/>
        <w:ind w:right="-1" w:firstLine="709"/>
        <w:rPr/>
      </w:pPr>
      <w:r>
        <w:rPr/>
        <w:t>- укрытие кузова автосамосвала с перевозным грунтом, против разноса частиц грунта (брезентом, мягкие покрытия, пленка и др.).</w:t>
      </w:r>
    </w:p>
    <w:p>
      <w:pPr>
        <w:pStyle w:val="Normal"/>
        <w:ind w:right="-1" w:firstLine="709"/>
        <w:rPr/>
      </w:pPr>
      <w:r>
        <w:rPr/>
        <w:t xml:space="preserve">- на выезде со строительной площадки предусматривается пункт для мойки колес автотранспорта. </w:t>
      </w:r>
    </w:p>
    <w:p>
      <w:pPr>
        <w:pStyle w:val="Normal"/>
        <w:ind w:right="-1" w:firstLine="709"/>
        <w:rPr/>
      </w:pPr>
      <w:r>
        <w:rPr/>
        <w:t>- оснащение рабочих мест и времянок контейнерами для сбора бытовых и строительных отходов;</w:t>
      </w:r>
    </w:p>
    <w:p>
      <w:pPr>
        <w:pStyle w:val="Normal"/>
        <w:ind w:right="-1" w:firstLine="709"/>
        <w:rPr/>
      </w:pPr>
      <w:r>
        <w:rPr>
          <w:rFonts w:eastAsia="Symbol" w:cs="Symbol" w:ascii="Symbol" w:hAnsi="Symbol"/>
        </w:rPr>
        <w:t></w:t>
      </w:r>
      <w:r>
        <w:rPr/>
        <w:t xml:space="preserve"> </w:t>
      </w:r>
      <w:r>
        <w:rPr/>
        <w:t xml:space="preserve">оборудование на территории строительства санитарно-бытовых помещений, на расстоянии не ближе 20 м от близлежащей застройки; </w:t>
      </w:r>
    </w:p>
    <w:p>
      <w:pPr>
        <w:pStyle w:val="Normal"/>
        <w:ind w:right="-1" w:firstLine="709"/>
        <w:rPr/>
      </w:pPr>
      <w:r>
        <w:rPr/>
        <w:t>- запрещение мойки машин и механизмов вне специально оборудованных для этого мест;</w:t>
      </w:r>
    </w:p>
    <w:p>
      <w:pPr>
        <w:pStyle w:val="Normal"/>
        <w:ind w:right="-1" w:firstLine="709"/>
        <w:rPr/>
      </w:pPr>
      <w:r>
        <w:rPr/>
        <w:t>- учет расхода технической и питьевой воды и образования стоков;</w:t>
      </w:r>
    </w:p>
    <w:p>
      <w:pPr>
        <w:pStyle w:val="Normal"/>
        <w:ind w:right="-1" w:firstLine="709"/>
        <w:rPr/>
      </w:pPr>
      <w:r>
        <w:rPr/>
        <w:t>- соблюдение технологических параметров производства и обеспечение нормальной эксплуатации механизмов;</w:t>
      </w:r>
    </w:p>
    <w:p>
      <w:pPr>
        <w:pStyle w:val="Normal"/>
        <w:ind w:right="-1" w:firstLine="709"/>
        <w:rPr/>
      </w:pPr>
      <w:r>
        <w:rPr/>
        <w:t>- применение основных грузоподъемных механизмов с электроприводом, что исключает выбросы отработанных газов;</w:t>
      </w:r>
    </w:p>
    <w:p>
      <w:pPr>
        <w:pStyle w:val="Normal"/>
        <w:ind w:right="-1" w:firstLine="709"/>
        <w:rPr/>
      </w:pPr>
      <w:r>
        <w:rPr/>
        <w:t>- использование строительной техники только в исправном состоянии с отрегулированными двигателями;</w:t>
      </w:r>
    </w:p>
    <w:p>
      <w:pPr>
        <w:pStyle w:val="Normal"/>
        <w:ind w:right="-1" w:firstLine="709"/>
        <w:rPr/>
      </w:pPr>
      <w:r>
        <w:rPr/>
        <w:t>- соблюдение правильной технологии строительно-монтажных и погрузочно-разгрузочных работ;</w:t>
      </w:r>
    </w:p>
    <w:p>
      <w:pPr>
        <w:pStyle w:val="Normal"/>
        <w:ind w:right="-1" w:firstLine="709"/>
        <w:rPr/>
      </w:pPr>
      <w:r>
        <w:rPr>
          <w:rFonts w:eastAsia="Symbol" w:cs="Symbol" w:ascii="Symbol" w:hAnsi="Symbol"/>
        </w:rPr>
        <w:t></w:t>
      </w:r>
      <w:r>
        <w:rPr/>
        <w:t xml:space="preserve"> </w:t>
      </w:r>
      <w:r>
        <w:rPr/>
        <w:t xml:space="preserve">транспортировка порошкообразных и др. сыпучих материалов производится в плотно закрытой таре; </w:t>
      </w:r>
    </w:p>
    <w:p>
      <w:pPr>
        <w:pStyle w:val="Normal"/>
        <w:ind w:right="-1" w:firstLine="709"/>
        <w:rPr/>
      </w:pPr>
      <w:r>
        <w:rPr>
          <w:rFonts w:eastAsia="Symbol" w:cs="Symbol" w:ascii="Symbol" w:hAnsi="Symbol"/>
        </w:rPr>
        <w:t></w:t>
      </w:r>
      <w:r>
        <w:rPr/>
        <w:t xml:space="preserve"> </w:t>
      </w:r>
      <w:r>
        <w:rPr/>
        <w:t xml:space="preserve">оборудование, при работе которого возможны выделения вредных газов, паров и пыли, поставляется в комплекте со всеми необходимыми укрытиями и устройствами; </w:t>
      </w:r>
    </w:p>
    <w:p>
      <w:pPr>
        <w:pStyle w:val="Normal"/>
        <w:ind w:right="-1" w:firstLine="709"/>
        <w:rPr/>
      </w:pPr>
      <w:r>
        <w:rPr/>
        <w:t>- для уменьшения количества пыли временные дороги, особенно в сухой жаркий период периодически поливают водой;</w:t>
      </w:r>
    </w:p>
    <w:p>
      <w:pPr>
        <w:pStyle w:val="Normal"/>
        <w:ind w:right="-1" w:firstLine="709"/>
        <w:rPr/>
      </w:pPr>
      <w:r>
        <w:rPr/>
        <w:t>-  запрещается проведение строительных работ в ночное время;</w:t>
      </w:r>
    </w:p>
    <w:p>
      <w:pPr>
        <w:pStyle w:val="Normal"/>
        <w:ind w:right="-1" w:firstLine="709"/>
        <w:rPr/>
      </w:pPr>
      <w:r>
        <w:rPr>
          <w:rFonts w:eastAsia="Symbol" w:cs="Symbol" w:ascii="Symbol" w:hAnsi="Symbol"/>
        </w:rPr>
        <w:t></w:t>
      </w:r>
      <w:r>
        <w:rPr/>
        <w:t xml:space="preserve"> </w:t>
      </w:r>
      <w:r>
        <w:rPr/>
        <w:t xml:space="preserve">оборудование и материалы, предусмотренные проектом, соответствуют гигиеническим требованиям и имеют заключения на соответствие требованиям санитарных норм; </w:t>
      </w:r>
    </w:p>
    <w:p>
      <w:pPr>
        <w:pStyle w:val="Normal"/>
        <w:ind w:right="-1" w:firstLine="709"/>
        <w:rPr>
          <w:bCs/>
          <w:iCs/>
        </w:rPr>
      </w:pPr>
      <w:r>
        <w:rPr>
          <w:bCs/>
          <w:iCs/>
        </w:rPr>
        <w:t xml:space="preserve">- воздействие на окружающую среду компенсируется природоохранными платежами. </w:t>
      </w:r>
    </w:p>
    <w:p>
      <w:pPr>
        <w:pStyle w:val="Normal"/>
        <w:ind w:right="-1" w:firstLine="709"/>
        <w:rPr/>
      </w:pPr>
      <w:r>
        <w:rPr/>
        <w:t>При реализации проектных решений в полном объеме, а также приведенной в разделе положений программы производственного экологического контроля для подрядных организаций, проектируемый объект не окажет негативного влияния на состояние окружающей природной среды и здоровье человека.</w:t>
      </w:r>
    </w:p>
    <w:p>
      <w:pPr>
        <w:pStyle w:val="Normal"/>
        <w:widowControl/>
        <w:ind w:right="-1" w:firstLine="709"/>
        <w:rPr>
          <w:rFonts w:eastAsia="Times New Roman"/>
          <w:color w:val="000000" w:themeColor="text1"/>
          <w:highlight w:val="yellow"/>
        </w:rPr>
      </w:pPr>
      <w:r>
        <w:rPr>
          <w:rFonts w:eastAsia="Times New Roman"/>
          <w:color w:val="000000" w:themeColor="text1"/>
          <w:highlight w:val="yellow"/>
        </w:rPr>
      </w:r>
    </w:p>
    <w:p>
      <w:pPr>
        <w:pStyle w:val="Normal"/>
        <w:widowControl/>
        <w:ind w:right="-1" w:firstLine="709"/>
        <w:rPr>
          <w:rFonts w:eastAsia="Times New Roman"/>
          <w:color w:val="000000" w:themeColor="text1"/>
          <w:highlight w:val="yellow"/>
        </w:rPr>
      </w:pPr>
      <w:r>
        <w:rPr>
          <w:rFonts w:eastAsia="Times New Roman"/>
          <w:color w:val="000000" w:themeColor="text1"/>
          <w:highlight w:val="yellow"/>
        </w:rPr>
      </w:r>
    </w:p>
    <w:p>
      <w:pPr>
        <w:pStyle w:val="Normal"/>
        <w:widowControl/>
        <w:ind w:right="-1" w:hanging="0"/>
        <w:rPr>
          <w:rFonts w:eastAsia="Times New Roman"/>
          <w:b/>
          <w:b/>
          <w:color w:val="000000" w:themeColor="text1"/>
          <w:highlight w:val="yellow"/>
        </w:rPr>
      </w:pPr>
      <w:r>
        <w:rPr>
          <w:rFonts w:eastAsia="Times New Roman"/>
          <w:b/>
          <w:color w:val="000000" w:themeColor="text1"/>
        </w:rPr>
        <w:t>3.2.7. Мероприятия по обеспечению пожарной безопасности</w:t>
      </w:r>
    </w:p>
    <w:p>
      <w:pPr>
        <w:pStyle w:val="Normal"/>
        <w:widowControl/>
        <w:ind w:right="-1" w:firstLine="709"/>
        <w:rPr>
          <w:rFonts w:eastAsia="Times New Roman"/>
          <w:b/>
          <w:b/>
          <w:color w:val="000000" w:themeColor="text1"/>
          <w:highlight w:val="yellow"/>
        </w:rPr>
      </w:pPr>
      <w:r>
        <w:rPr>
          <w:rFonts w:eastAsia="Times New Roman"/>
          <w:b/>
          <w:color w:val="000000" w:themeColor="text1"/>
          <w:highlight w:val="yellow"/>
        </w:rPr>
      </w:r>
    </w:p>
    <w:p>
      <w:pPr>
        <w:pStyle w:val="ListParagraph"/>
        <w:ind w:left="0" w:right="-1" w:firstLine="709"/>
        <w:jc w:val="both"/>
        <w:rPr/>
      </w:pPr>
      <w:r>
        <w:rPr/>
        <w:t xml:space="preserve">Проектными решениями предусмотрены мероприятия по предотвращению возникновения пожара, исключающие условия образования горючей среды и мероприятия, исключающие оборудование в горючей среде источников зажигания, а также защиту людей и имущества от воздействия опасных факторов пожара, эвакуацию людей в безопасную зону и тушение пожара. </w:t>
      </w:r>
    </w:p>
    <w:p>
      <w:pPr>
        <w:pStyle w:val="Normal"/>
        <w:ind w:right="-1" w:firstLine="709"/>
        <w:rPr/>
      </w:pPr>
      <w:r>
        <w:rPr/>
        <w:t>Противопожарные расстояния от проектируемых зданий 1-го и 2-го этапов строительства до ближайших  соседних зданий и сооружений предусматриваются в соответствии с требованиями Федерального закона «Технический регламент о требованиях пожарной безопасности» от 22 июля 2008 года № 123-ФЗ и в соответствии с требованием СП 4.13130.2013.</w:t>
      </w:r>
    </w:p>
    <w:p>
      <w:pPr>
        <w:pStyle w:val="Normal"/>
        <w:ind w:right="-1" w:firstLine="709"/>
        <w:rPr/>
      </w:pPr>
      <w:r>
        <w:rPr/>
        <w:t>Проектными решениями предусмотрено строительство жилого комплекса (поз.4), включающего 3-х этажное здание с нежилыми помещениями (офисами), осуществляется в два этапа.</w:t>
      </w:r>
    </w:p>
    <w:p>
      <w:pPr>
        <w:pStyle w:val="Normal"/>
        <w:ind w:right="-1" w:firstLine="709"/>
        <w:rPr/>
      </w:pPr>
      <w:r>
        <w:rPr/>
        <w:t>Первый этап – пять сблокированных 10-ти этажных (включая технический чердак) панельных секций жилых домов.</w:t>
      </w:r>
    </w:p>
    <w:p>
      <w:pPr>
        <w:pStyle w:val="Normal"/>
        <w:ind w:right="-1" w:firstLine="709"/>
        <w:rPr/>
      </w:pPr>
      <w:r>
        <w:rPr/>
        <w:t>Второй этап – две 10-ти этажные секции, сблокированные с 17-ти этажной (включая технический чердак) угловой секцией и пристроенное к 17-ти этажной секции 3-х этажного здания с нежилыми помещениями (офисами).</w:t>
      </w:r>
    </w:p>
    <w:p>
      <w:pPr>
        <w:pStyle w:val="Normal"/>
        <w:ind w:right="-1" w:firstLine="709"/>
        <w:rPr/>
      </w:pPr>
      <w:r>
        <w:rPr/>
        <w:t>Здание имеет С-образную форму в плане и разбито на 3 пожарных отсека, площадь этажа каждого менее 2200 м</w:t>
      </w:r>
      <w:r>
        <w:rPr>
          <w:vertAlign w:val="superscript"/>
        </w:rPr>
        <w:t>2</w:t>
      </w:r>
      <w:r>
        <w:rPr/>
        <w:t>.</w:t>
      </w:r>
    </w:p>
    <w:p>
      <w:pPr>
        <w:pStyle w:val="Normal"/>
        <w:ind w:right="-1" w:firstLine="709"/>
        <w:rPr/>
      </w:pPr>
      <w:r>
        <w:rPr/>
        <w:t>Первый пожарный отсек  -  пять сблокированных 10-ти этажных (включая технический чердак)  панельных секций  - площадь этажа — 1587,6м</w:t>
      </w:r>
      <w:r>
        <w:rPr>
          <w:vertAlign w:val="superscript"/>
        </w:rPr>
        <w:t>2</w:t>
      </w:r>
      <w:r>
        <w:rPr/>
        <w:t>.</w:t>
      </w:r>
    </w:p>
    <w:p>
      <w:pPr>
        <w:pStyle w:val="Normal"/>
        <w:ind w:right="-1" w:firstLine="709"/>
        <w:rPr/>
      </w:pPr>
      <w:r>
        <w:rPr/>
        <w:t>Второй пожарный отсек -  две 10-ти этажные секции, сблокированные с 17-ти этажной (включая технический чердак) угловой секцией - площадь этажа — 1178,7м</w:t>
      </w:r>
      <w:r>
        <w:rPr>
          <w:vertAlign w:val="superscript"/>
        </w:rPr>
        <w:t>2</w:t>
      </w:r>
      <w:r>
        <w:rPr/>
        <w:t>.</w:t>
      </w:r>
    </w:p>
    <w:p>
      <w:pPr>
        <w:pStyle w:val="Normal"/>
        <w:ind w:right="-1" w:firstLine="709"/>
        <w:rPr/>
      </w:pPr>
      <w:r>
        <w:rPr/>
        <w:t>Третий пожарный отсек - 3-х этажное здание с нежилыми помещениями (офисами) - площадь этажа — 641,3м</w:t>
      </w:r>
      <w:r>
        <w:rPr>
          <w:vertAlign w:val="superscript"/>
        </w:rPr>
        <w:t>2</w:t>
      </w:r>
      <w:r>
        <w:rPr/>
        <w:t xml:space="preserve">. </w:t>
      </w:r>
    </w:p>
    <w:p>
      <w:pPr>
        <w:pStyle w:val="Normal"/>
        <w:ind w:right="-1" w:firstLine="709"/>
        <w:rPr/>
      </w:pPr>
      <w:r>
        <w:rPr/>
        <w:t xml:space="preserve">Здания 1-го и 2-го этапа строительства приняты </w:t>
      </w:r>
      <w:r>
        <w:rPr>
          <w:lang w:val="en-US"/>
        </w:rPr>
        <w:t>II</w:t>
      </w:r>
      <w:r>
        <w:rPr/>
        <w:t xml:space="preserve">-й степени огнестойкости, класс конструктивной пожарной опасности С1, класс функциональной пожарной опасности жилой части комплекса Ф 1.3, нежилой части Ф 4.3. </w:t>
      </w:r>
    </w:p>
    <w:p>
      <w:pPr>
        <w:pStyle w:val="Normal"/>
        <w:ind w:right="-1" w:firstLine="709"/>
        <w:rPr/>
      </w:pPr>
      <w:r>
        <w:rPr/>
        <w:t xml:space="preserve">На территорию  предусмотрены  два  въезда. Один въезд  предусмотрен с  ул. Революционной, другой - с ул. Спортивной.  Оба въезда совмещены с ранее существующими проездами.  Пожарный проезд  шириной 6 м для зданий 1-го этапа строительства запроектирован вдоль: оси «1»  на расстоянии  6,60 м от стены здания, вдоль оси «4» на расстоянии 7,75 м от стены здания, вдоль оси «М» на расстоянии  5,25 м от стены здания. </w:t>
      </w:r>
    </w:p>
    <w:p>
      <w:pPr>
        <w:pStyle w:val="Normal"/>
        <w:ind w:right="-1" w:firstLine="709"/>
        <w:rPr/>
      </w:pPr>
      <w:r>
        <w:rPr/>
        <w:t>Пожарный проезд  шириной 6 м для зданий 2-го этапа строительства запроектирован вдоль: вдоль оси «М» на расстоянии  5,25 м от стены здания; вдоль оси «14» на расстоянии  6,75 м и  8,25 м от стен 10 эт. и 17 эт. секций; вдоль оси «11» на расстоянии 5,25 м от стены здания; вдоль оси «Б» на расстоянии  8,25 м от стены здания.</w:t>
      </w:r>
    </w:p>
    <w:p>
      <w:pPr>
        <w:pStyle w:val="Normal"/>
        <w:ind w:right="-1" w:firstLine="709"/>
        <w:rPr/>
      </w:pPr>
      <w:r>
        <w:rPr/>
        <w:t xml:space="preserve">Радиусы закругления  проездов приняты 5,0 м. </w:t>
      </w:r>
    </w:p>
    <w:p>
      <w:pPr>
        <w:pStyle w:val="Normal"/>
        <w:ind w:right="-1" w:firstLine="709"/>
        <w:rPr/>
      </w:pPr>
      <w:r>
        <w:rPr/>
        <w:t xml:space="preserve">Время прибытия первого пожарного подразделения к  месту вызова согласно представленным сведениям составляет менее 10 мин., что соответствует п.1 статьи 76 Федерального закона №123-ФЗ. </w:t>
      </w:r>
    </w:p>
    <w:p>
      <w:pPr>
        <w:pStyle w:val="Normal"/>
        <w:ind w:right="-1" w:firstLine="709"/>
        <w:rPr/>
      </w:pPr>
      <w:r>
        <w:rPr/>
        <w:t>Наружное пожаротушение при максимальном строительном объеме части здания (пяти жилых секций) равном 58702 м</w:t>
      </w:r>
      <w:r>
        <w:rPr>
          <w:vertAlign w:val="superscript"/>
        </w:rPr>
        <w:t>3</w:t>
      </w:r>
      <w:r>
        <w:rPr/>
        <w:t xml:space="preserve"> предусматривается не менее чем от двух пожарных гидрантов, расход воды на пожаротушение здания принят 30 л/с.</w:t>
      </w:r>
    </w:p>
    <w:p>
      <w:pPr>
        <w:pStyle w:val="Normal"/>
        <w:ind w:right="-1" w:firstLine="709"/>
        <w:rPr/>
      </w:pPr>
      <w:r>
        <w:rPr/>
        <w:t>Пожарные  гидранты располагаются на расстоянии не более 2,5 метра от края покрытия, рассчитанного на проезд пожарной техники, но не ближе 5 метров от стен здания. Расстояние от каждого пожарного гидранта до здания не превышает 150 метров.</w:t>
      </w:r>
    </w:p>
    <w:p>
      <w:pPr>
        <w:pStyle w:val="Normal"/>
        <w:ind w:right="-1" w:firstLine="709"/>
        <w:rPr/>
      </w:pPr>
      <w:r>
        <w:rPr/>
        <w:t>Конструктивная схема пяти сблокированных секций  – сборный железобетонный каркас с несущими наружными и внутренними стеновыми панелями объединенными диском перекрытия  по серии 1.090.1-1/88 «Тольяттинская».</w:t>
      </w:r>
    </w:p>
    <w:p>
      <w:pPr>
        <w:pStyle w:val="Normal"/>
        <w:ind w:right="-1" w:firstLine="709"/>
        <w:rPr/>
      </w:pPr>
      <w:r>
        <w:rPr/>
        <w:t xml:space="preserve">Конструктивная схема здания части здания (две 10-ти и одна 17-ти этажная секция) жилого дома  – сборный железобетонный каркас с несущими наружными и внутренними стеновыми панелями объединенными диском перекрытия  по серии 1.090.1-1/88 «Тольяттинская». </w:t>
      </w:r>
    </w:p>
    <w:p>
      <w:pPr>
        <w:pStyle w:val="Normal"/>
        <w:ind w:right="-1" w:firstLine="709"/>
        <w:rPr/>
      </w:pPr>
      <w:r>
        <w:rPr/>
        <w:t>Степень огнестойкости зданий 1-го и 2-го этапов строительства II-я и класс конструктивной пожарной опасности здания С1 (С0 для секции 8) выбраны по табл.6.8 СП 2.13330.2012 исходя из высоты здания (до 28 м и до 50 м-секция 8) и площади этажа в пределах пожарного отсека (до 2500 м</w:t>
      </w:r>
      <w:r>
        <w:rPr>
          <w:vertAlign w:val="superscript"/>
        </w:rPr>
        <w:t>2</w:t>
      </w:r>
      <w:r>
        <w:rPr/>
        <w:t xml:space="preserve">). </w:t>
      </w:r>
    </w:p>
    <w:p>
      <w:pPr>
        <w:pStyle w:val="Normal"/>
        <w:ind w:right="-1" w:firstLine="709"/>
        <w:rPr/>
      </w:pPr>
      <w:r>
        <w:rPr/>
        <w:t xml:space="preserve">Предел огнестойкости строительных конструкций зданий выполнен в соответствии с табл.21 Федерального закона N 123-ФЗ от 22 июля 2008 года  "Технический регламент о требованиях пожарной безопасности" для II степени огнестойкости здания. </w:t>
      </w:r>
    </w:p>
    <w:p>
      <w:pPr>
        <w:pStyle w:val="Normal"/>
        <w:ind w:right="-1" w:firstLine="709"/>
        <w:rPr/>
      </w:pPr>
      <w:r>
        <w:rPr/>
        <w:t>Класс пожарной опасности применяемых строительных конструкций — К1 (К0 для секции 8) в соответствии с табл.22 Федерального закона N 123-ФЗ от 22 июля 2008 года  "Технический регламент о требованиях пожарной безопасности" при классе конструктивной пожарной опасности здания — С1 (С0 для секции 8).</w:t>
      </w:r>
    </w:p>
    <w:p>
      <w:pPr>
        <w:pStyle w:val="Normal"/>
        <w:ind w:right="-1" w:firstLine="709"/>
        <w:rPr/>
      </w:pPr>
      <w:r>
        <w:rPr/>
        <w:t>Здание с нежилыми помещениями II-й степени огнестойкости и классе конструктивной пожарной опасности здания С1  выбраны по табл.6.9 СП 2.13330.2012 исходя из высоты здания (до 28м) и площади этажа в пределах пожарного отсека (до 3000 м</w:t>
      </w:r>
      <w:r>
        <w:rPr>
          <w:vertAlign w:val="superscript"/>
        </w:rPr>
        <w:t>2</w:t>
      </w:r>
      <w:r>
        <w:rPr/>
        <w:t>).</w:t>
      </w:r>
    </w:p>
    <w:p>
      <w:pPr>
        <w:pStyle w:val="Normal"/>
        <w:ind w:right="-1" w:firstLine="709"/>
        <w:rPr/>
      </w:pPr>
      <w:r>
        <w:rPr/>
        <w:t>Здания жилого дома состоят из пяти 10-ти этажных секций 1-го этапа строительства и 2-х 10-ти этажных секций (6-7) и 1-й 17-ти этажной секции (8) 2-го этапа строительства. Общая площадь квартир на этаже всех секций не превышает 500 м</w:t>
      </w:r>
      <w:r>
        <w:rPr>
          <w:vertAlign w:val="superscript"/>
        </w:rPr>
        <w:t>2</w:t>
      </w:r>
      <w:r>
        <w:rPr/>
        <w:t>.</w:t>
      </w:r>
    </w:p>
    <w:p>
      <w:pPr>
        <w:pStyle w:val="Normal"/>
        <w:ind w:right="-1" w:firstLine="709"/>
        <w:rPr/>
      </w:pPr>
      <w:r>
        <w:rPr/>
        <w:t>Жилые этажи соединяются между собой лестнично-лифтовым блоком.</w:t>
      </w:r>
    </w:p>
    <w:p>
      <w:pPr>
        <w:pStyle w:val="Normal"/>
        <w:ind w:right="-1" w:firstLine="709"/>
        <w:rPr/>
      </w:pPr>
      <w:r>
        <w:rPr/>
        <w:t>Лестнично-лифтовой блок объединяет лестничную клетку (тип Л1 и Н2 в секции 8) с лифтом и мусоропроводом, расположен по центру секции, выполнен на всю высоту здания и возвышается над основной кровлей на 2.5м и отделен от внеквартирных коридоров жилой части железобетонными  стенами.</w:t>
      </w:r>
    </w:p>
    <w:p>
      <w:pPr>
        <w:pStyle w:val="Normal"/>
        <w:ind w:right="-1" w:firstLine="709"/>
        <w:rPr/>
      </w:pPr>
      <w:r>
        <w:rPr/>
        <w:t>Сквозной проход предусмотрен в 3-й секции 1-го этапа и 7-й секции 2-го этапа строительства на расстоянии не более 100м от начала здания по наружному периметру  со стороны наружного водопровода с пожарными гидрантами.</w:t>
      </w:r>
    </w:p>
    <w:p>
      <w:pPr>
        <w:pStyle w:val="Normal"/>
        <w:ind w:right="-1" w:firstLine="709"/>
        <w:rPr/>
      </w:pPr>
      <w:r>
        <w:rPr/>
        <w:t>Сквозной проезд предусмотрен на 1-м этаже нежилого здания 2-го этапа строительства высотой не менее 4,5 м., шириной 6,4 м.</w:t>
      </w:r>
    </w:p>
    <w:p>
      <w:pPr>
        <w:pStyle w:val="Normal"/>
        <w:ind w:right="-1" w:firstLine="709"/>
        <w:rPr/>
      </w:pPr>
      <w:r>
        <w:rPr/>
        <w:t xml:space="preserve">Стены и перегородки, отделяющие внеквартирые коридоры от других помещений выполнены с пределом огнестойкости не менее </w:t>
      </w:r>
      <w:r>
        <w:rPr>
          <w:lang w:val="en-US"/>
        </w:rPr>
        <w:t>EI</w:t>
      </w:r>
      <w:r>
        <w:rPr/>
        <w:t xml:space="preserve"> 45. Межквартирные ненесущие перегородки и стены предусмотрены с пределом огнестойкости не менее </w:t>
      </w:r>
      <w:r>
        <w:rPr>
          <w:lang w:val="en-US"/>
        </w:rPr>
        <w:t>EI</w:t>
      </w:r>
      <w:r>
        <w:rPr/>
        <w:t xml:space="preserve"> 30, класс пожарной опасности конструкций К0.</w:t>
      </w:r>
    </w:p>
    <w:p>
      <w:pPr>
        <w:pStyle w:val="Normal"/>
        <w:ind w:right="-1" w:firstLine="709"/>
        <w:rPr/>
      </w:pPr>
      <w:r>
        <w:rPr/>
        <w:t xml:space="preserve">Дверные полотна в проемах противопожарных перегородок 1-го типа имеют предел огнестойкости не менее </w:t>
      </w:r>
      <w:r>
        <w:rPr>
          <w:lang w:val="en-US"/>
        </w:rPr>
        <w:t>EI</w:t>
      </w:r>
      <w:r>
        <w:rPr/>
        <w:t xml:space="preserve"> 30.</w:t>
      </w:r>
    </w:p>
    <w:p>
      <w:pPr>
        <w:pStyle w:val="Normal"/>
        <w:ind w:right="-1" w:firstLine="709"/>
        <w:rPr/>
      </w:pPr>
      <w:r>
        <w:rPr/>
        <w:t xml:space="preserve">Ограждающие конструкции каналов, шахт и ниш для прокладки коммуникаций приняты с пределом огнестойкости не менее </w:t>
      </w:r>
      <w:r>
        <w:rPr>
          <w:lang w:val="en-US"/>
        </w:rPr>
        <w:t>EI</w:t>
      </w:r>
      <w:r>
        <w:rPr/>
        <w:t xml:space="preserve"> 45.</w:t>
      </w:r>
    </w:p>
    <w:p>
      <w:pPr>
        <w:pStyle w:val="Normal"/>
        <w:ind w:right="-1" w:firstLine="709"/>
        <w:rPr/>
      </w:pPr>
      <w:r>
        <w:rPr/>
        <w:t>Шахта лифта принята с пределом огнестойкости REI 120 с заполнением дверного проема противопожарными дверями  EI 30.</w:t>
      </w:r>
    </w:p>
    <w:p>
      <w:pPr>
        <w:pStyle w:val="Normal"/>
        <w:ind w:right="-1" w:firstLine="709"/>
        <w:rPr/>
      </w:pPr>
      <w:r>
        <w:rPr/>
        <w:t>Для секции 8 - двери лифтового холла предусмотрены противопожарными 2 типа с пределом огнестойкости EI 30 с приспособлениями для самозакрывания и с уплотнением в притворах, выполненные в дымогазонепроницаемом исполнени</w:t>
      </w:r>
    </w:p>
    <w:p>
      <w:pPr>
        <w:pStyle w:val="Normal"/>
        <w:ind w:right="-1" w:firstLine="709"/>
        <w:rPr/>
      </w:pPr>
      <w:r>
        <w:rPr/>
        <w:t>Машинное отделение лифта расположено на уровне чердака, выделено сборными железобетонными панелями с пределом огнестойкости REI 120. Вход в машинное отделение лифта осуществляется из лестничной клетки и оборудован противопожарной дверью с пределом огнестойкости EI 30.</w:t>
      </w:r>
    </w:p>
    <w:p>
      <w:pPr>
        <w:pStyle w:val="Normal"/>
        <w:ind w:right="-1" w:firstLine="709"/>
        <w:rPr/>
      </w:pPr>
      <w:r>
        <w:rPr/>
        <w:t>Перегородки зон безопасности в секции 8 предусмотрены с пределом огнестойкости  REI 150, перекрытие REI 180 с заполнением проемов противопожарными дверями 1-го типа с пределом огнестойкости Е 60.</w:t>
      </w:r>
    </w:p>
    <w:p>
      <w:pPr>
        <w:pStyle w:val="Normal"/>
        <w:ind w:right="-1" w:firstLine="709"/>
        <w:rPr/>
      </w:pPr>
      <w:r>
        <w:rPr/>
        <w:t>Мусоросборная камера всех секций имеет самостоятельный вход, изолированный от входа в здание жилого дома глухой стеной, и выделяется противопожарными перегородками и перекрытием с пределами огнестойкости не менее REI 60 и классом пожарной опасности К0.</w:t>
      </w:r>
    </w:p>
    <w:p>
      <w:pPr>
        <w:pStyle w:val="Normal"/>
        <w:ind w:right="-1" w:firstLine="709"/>
        <w:rPr>
          <w:u w:val="single"/>
        </w:rPr>
      </w:pPr>
      <w:r>
        <w:rPr/>
        <w:t xml:space="preserve">Ствол мусоропровода выполняется из материалов группы НГ.  В стволе мусороудаления предусматривается устройство шибера, устанавливаемый в мусоросборной камере, с оснащением его приводом для самозакрывания при пожаре. Требуемый предел огнестойкости шибера предусматривается не менее предела, установленного для ствола мусороудаления. </w:t>
      </w:r>
    </w:p>
    <w:p>
      <w:pPr>
        <w:pStyle w:val="Normal"/>
        <w:ind w:right="-1" w:firstLine="709"/>
        <w:rPr/>
      </w:pPr>
      <w:r>
        <w:rPr/>
        <w:t>Подвал  на отм. -2,500 предназначен для прокладки инженерных сетей и размещения технических помещений, не имеет сообщения с жилой частью здания и составляет единый пожарный отсек в пределах секции.</w:t>
      </w:r>
    </w:p>
    <w:p>
      <w:pPr>
        <w:pStyle w:val="Normal"/>
        <w:ind w:right="-1" w:firstLine="709"/>
        <w:rPr/>
      </w:pPr>
      <w:r>
        <w:rPr/>
        <w:t>В подвальном этаже выполнены два окна дымоудаления размером 0.9х1.2м, оборудованных приямками.</w:t>
      </w:r>
    </w:p>
    <w:p>
      <w:pPr>
        <w:pStyle w:val="Normal"/>
        <w:ind w:right="-1" w:firstLine="709"/>
        <w:rPr/>
      </w:pPr>
      <w:r>
        <w:rPr/>
        <w:t>Двери технических помещений тех. подполья (ИТП,  электрощитовой, водомерного узла) предусмотрены противопожарными с пределом огнестойкости EI 30 с приспособлениями для самозакрывания и с уплотнением в притворах.</w:t>
      </w:r>
    </w:p>
    <w:p>
      <w:pPr>
        <w:pStyle w:val="Normal"/>
        <w:ind w:right="-1" w:firstLine="709"/>
        <w:rPr/>
      </w:pPr>
      <w:r>
        <w:rPr/>
        <w:t>Чердак — отделен от лестничной клетки сборными железобетонными панелями с заполнением противопожарной дверью размером 1.6х0.9м с пределом огнестойкости EI30.</w:t>
      </w:r>
    </w:p>
    <w:p>
      <w:pPr>
        <w:pStyle w:val="Normal"/>
        <w:ind w:right="-1" w:firstLine="709"/>
        <w:rPr/>
      </w:pPr>
      <w:r>
        <w:rPr/>
        <w:t xml:space="preserve">Эвакуация из квартир предусматривается через внеквартирный коридор шириной 1,90 м в свету, ведущий через распашные двери в лифтовой холл, и далее, в лестничную клетку типа Л1 (Н2 в секции 8). Максимальное расстояние от дверей квартир до лестничной клетки предусмотрено не более 12 м. </w:t>
      </w:r>
    </w:p>
    <w:p>
      <w:pPr>
        <w:pStyle w:val="Normal"/>
        <w:ind w:right="-1" w:firstLine="709"/>
        <w:rPr/>
      </w:pPr>
      <w:r>
        <w:rPr/>
        <w:t>Эвакуационные пути предусмотрены такой ширины, чтобы с учетом их геометрии по ним можно было беспрепятственно пронести носилки с лежащим на них человеком.</w:t>
      </w:r>
    </w:p>
    <w:p>
      <w:pPr>
        <w:pStyle w:val="Normal"/>
        <w:ind w:right="-1" w:firstLine="709"/>
        <w:rPr/>
      </w:pPr>
      <w:r>
        <w:rPr/>
        <w:t>Высота горизонтальных путей эвакуации в свету предусмотрена не менее 2 м.</w:t>
      </w:r>
    </w:p>
    <w:p>
      <w:pPr>
        <w:pStyle w:val="Normal"/>
        <w:ind w:right="-1" w:firstLine="709"/>
        <w:rPr/>
      </w:pPr>
      <w:r>
        <w:rPr/>
        <w:t>В коридорах не предусмотрено размещение оборудования, выступающего из плоскости стен на высоте менее 2 м.</w:t>
      </w:r>
    </w:p>
    <w:p>
      <w:pPr>
        <w:pStyle w:val="Normal"/>
        <w:ind w:right="-1" w:firstLine="709"/>
        <w:rPr/>
      </w:pPr>
      <w:r>
        <w:rPr/>
        <w:t>Двери эвакуационных выходов из поэтажных коридоров, лестничной клетки и выходов на кровлю предусматриваются без запоров, препятствующих их свободному открыванию изнутри без ключа.</w:t>
      </w:r>
    </w:p>
    <w:p>
      <w:pPr>
        <w:pStyle w:val="Normal"/>
        <w:ind w:right="-1" w:firstLine="709"/>
        <w:rPr/>
      </w:pPr>
      <w:r>
        <w:rPr/>
        <w:t xml:space="preserve">Лестничная клетка типа Л1 предусмотрена с непосредственным выходом наружу через распашные двери шириной 1,50 м (лестничная клетка типа Н2 имеет выход на уровне 1-го этажа, ведущий непосредственно наружу, через двойной тамбур). </w:t>
      </w:r>
    </w:p>
    <w:p>
      <w:pPr>
        <w:pStyle w:val="Normal"/>
        <w:ind w:right="-1" w:firstLine="709"/>
        <w:rPr/>
      </w:pPr>
      <w:r>
        <w:rPr/>
        <w:t>Ширина лестничных маршей лестничных клеток Л1 и Н1 предусмотрена более 1,05 м, ширина лестничных площадок выполняется не менее ширины марша лестницы, а ширина марша не менее ширины эвакуационного выхода на нее.</w:t>
      </w:r>
    </w:p>
    <w:p>
      <w:pPr>
        <w:pStyle w:val="Normal"/>
        <w:ind w:right="-1" w:firstLine="709"/>
        <w:rPr/>
      </w:pPr>
      <w:r>
        <w:rPr/>
        <w:t xml:space="preserve">Ширина наружных дверей лестничной клетки и тамбура предусмотрена не менее ширины марша лестницы. </w:t>
      </w:r>
    </w:p>
    <w:p>
      <w:pPr>
        <w:pStyle w:val="Normal"/>
        <w:ind w:right="-1" w:firstLine="709"/>
        <w:rPr/>
      </w:pPr>
      <w:r>
        <w:rPr/>
        <w:t xml:space="preserve">Уклон маршей лестниц предназначенных для эвакуации в лестничной клетке Л1 предусмотрен 1:2 (1:1,5 в лестничной клетке Н2 секции 8), ширина проступи ступени — 30 см, а высота — 15 см. Зазор между лестничным маршем и стеной лифта с левой стороны шахты лестничных клеток Л1 и между маршами лестничной клетки Н2 в секции 8, составляет не менее 75мм  для свободного прохождения пожарного рукава. </w:t>
      </w:r>
    </w:p>
    <w:p>
      <w:pPr>
        <w:pStyle w:val="Normal"/>
        <w:ind w:right="-1" w:firstLine="709"/>
        <w:rPr>
          <w:u w:val="single"/>
        </w:rPr>
      </w:pPr>
      <w:r>
        <w:rPr/>
        <w:t xml:space="preserve">Высота ограждения лестниц лестничной клетки предусмотрена не менее 1,2м. </w:t>
      </w:r>
    </w:p>
    <w:p>
      <w:pPr>
        <w:pStyle w:val="Normal"/>
        <w:ind w:right="-1" w:firstLine="709"/>
        <w:rPr/>
      </w:pPr>
      <w:r>
        <w:rPr/>
        <w:t>В лестничной клетке и лифтовом холле предусмотрены световые проемы площадью не менее 1,2 м</w:t>
      </w:r>
      <w:r>
        <w:rPr>
          <w:vertAlign w:val="superscript"/>
        </w:rPr>
        <w:t>2</w:t>
      </w:r>
      <w:r>
        <w:rPr/>
        <w:t xml:space="preserve"> в наружных стенах на каждом этаже. Двери в лестничных клетках предусмотрены с приспособлением для самозакрывания и с уплотнением в притворах.</w:t>
      </w:r>
    </w:p>
    <w:p>
      <w:pPr>
        <w:pStyle w:val="Normal"/>
        <w:ind w:right="-1" w:firstLine="709"/>
        <w:rPr/>
      </w:pPr>
      <w:r>
        <w:rPr/>
        <w:t xml:space="preserve">Из лестничной клетки предусмотрен выход на кровлю по стальной стремянке, через противопожарную дверь с пределом огнестойкости </w:t>
      </w:r>
      <w:r>
        <w:rPr>
          <w:lang w:val="en-US"/>
        </w:rPr>
        <w:t>EI</w:t>
      </w:r>
      <w:r>
        <w:rPr/>
        <w:t xml:space="preserve"> 30 размером 0,9х1,6 м.</w:t>
      </w:r>
    </w:p>
    <w:p>
      <w:pPr>
        <w:pStyle w:val="Normal"/>
        <w:ind w:right="-1" w:firstLine="709"/>
        <w:rPr/>
      </w:pPr>
      <w:r>
        <w:rPr/>
        <w:t>В каждой квартире, расположенной на высоте более 15м, предусмотрены аварийные выходы на лоджии с глухим простенком размером 1,2м от торца лоджии до оконного проема. Высота ограждения лоджии принята не менее 1,2м.</w:t>
      </w:r>
    </w:p>
    <w:p>
      <w:pPr>
        <w:pStyle w:val="Normal"/>
        <w:ind w:right="-1" w:firstLine="709"/>
        <w:rPr/>
      </w:pPr>
      <w:r>
        <w:rPr/>
        <w:t>Эвакуационные пути предусмотрены с учетом эвакуации маломобильных групп населения.</w:t>
      </w:r>
    </w:p>
    <w:p>
      <w:pPr>
        <w:pStyle w:val="Normal"/>
        <w:ind w:right="-1" w:firstLine="709"/>
        <w:rPr/>
      </w:pPr>
      <w:r>
        <w:rPr/>
        <w:t>В местах перепада высот кровель более 1м предусмотрена пожарная лестница типа П1. Пожарная лестница предусмотрена из негорючих материалов и рассчитана на ее использование пожарными подразделениями. На кровле по контуру парапета выполнено ограждение высотой 1,2м.</w:t>
      </w:r>
    </w:p>
    <w:p>
      <w:pPr>
        <w:pStyle w:val="Normal"/>
        <w:ind w:right="-1" w:firstLine="709"/>
        <w:rPr/>
      </w:pPr>
      <w:r>
        <w:rPr/>
        <w:t>Выходы из подвала расположены рассредоточено на расстоянии менее 100м, не имеют сообщения с лестничной клеткой жилого дома и ведут непосредственно наружу. Высота эвакуационных выходов в свету предусмотрена не менее 1,9 м. ширина не менее    0,8 м.</w:t>
      </w:r>
    </w:p>
    <w:p>
      <w:pPr>
        <w:pStyle w:val="Normal"/>
        <w:ind w:right="-1" w:firstLine="709"/>
        <w:rPr/>
      </w:pPr>
      <w:r>
        <w:rPr/>
        <w:t>Высота проходов в свету в подвале и техническом чердаке составляет не менее 1,8м, ширина – 0,9м.</w:t>
      </w:r>
    </w:p>
    <w:p>
      <w:pPr>
        <w:pStyle w:val="Normal"/>
        <w:ind w:right="-1" w:firstLine="709"/>
        <w:rPr/>
      </w:pPr>
      <w:r>
        <w:rPr/>
        <w:t>На кровле по контуру парапета выполнено ограждение высотой 1,2м.</w:t>
      </w:r>
    </w:p>
    <w:p>
      <w:pPr>
        <w:pStyle w:val="Normal"/>
        <w:ind w:right="-1" w:firstLine="709"/>
        <w:rPr/>
      </w:pPr>
      <w:r>
        <w:rPr/>
        <w:t xml:space="preserve">На путях эвакуации (лестнично-лифтовой холл, внеквартирные коридоры) отделка стен, полов и потолков соответствует классу пожарной опасности строительных материалов КМ2. </w:t>
      </w:r>
    </w:p>
    <w:p>
      <w:pPr>
        <w:pStyle w:val="Normal"/>
        <w:ind w:right="-1" w:firstLine="709"/>
        <w:rPr/>
      </w:pPr>
      <w:r>
        <w:rPr/>
        <w:t xml:space="preserve"> </w:t>
      </w:r>
      <w:r>
        <w:rPr/>
        <w:t>Выход из мусоросборной камеры предусмотрен непосредственно наружу.</w:t>
      </w:r>
    </w:p>
    <w:p>
      <w:pPr>
        <w:pStyle w:val="Normal"/>
        <w:ind w:right="-1" w:firstLine="709"/>
        <w:rPr/>
      </w:pPr>
      <w:r>
        <w:rPr/>
        <w:t>Эвакуация из здания с нежилыми помещениями предусмотрена по лестничной клетке Л1 и Н2.</w:t>
      </w:r>
    </w:p>
    <w:p>
      <w:pPr>
        <w:pStyle w:val="Normal"/>
        <w:ind w:right="-1" w:firstLine="709"/>
        <w:rPr/>
      </w:pPr>
      <w:r>
        <w:rPr/>
        <w:t>Лестнично-лифтовой блок объединяет лестничную клетку (тип Н2) с лифтом, имеющим режим работы «перевозка пожарных подразделений», расположен в угловой части здания справа по главному фасаду, выполнен на всю высоту здания и возвышается над основной кровлей на 3,3м и отделен от нежилых помещений каждого этажа кирпичными стенами и перегородками. Лестничная клетка типа Н2 имеет выход непосредственно наружу через тамбур и распашные двери шириной 1,5м. Окна лестничной клетки типа Н2 — глухие в ПВХ-переплетах, обеспечивают естественное освещение пути эвакуации, площадь остекления окон составляет не менее 1,2 м</w:t>
      </w:r>
      <w:r>
        <w:rPr>
          <w:vertAlign w:val="superscript"/>
        </w:rPr>
        <w:t>2</w:t>
      </w:r>
      <w:r>
        <w:rPr/>
        <w:t xml:space="preserve">. </w:t>
      </w:r>
    </w:p>
    <w:p>
      <w:pPr>
        <w:pStyle w:val="Normal"/>
        <w:ind w:right="-1" w:firstLine="709"/>
        <w:rPr/>
      </w:pPr>
      <w:r>
        <w:rPr/>
        <w:t>Лестничная клетка типа Л1  расположена в угловой части здания слева по главному фасаду, выполнена на всю высоту здания и отделена от нежилых помещений каждого этажа кирпичными стенами и перегородками. Лестничная клетка типа Л1 имеет выход непосредственно наружу через тамбур и распашные двери шириной 1,5 м. Лестничная клетка типа Л1 имеет световой проем в наружной стене площадью не менее 1,2 м</w:t>
      </w:r>
      <w:r>
        <w:rPr>
          <w:vertAlign w:val="superscript"/>
        </w:rPr>
        <w:t>2</w:t>
      </w:r>
      <w:r>
        <w:rPr/>
        <w:t>. Окна лестничной клетки типа Л1 — распашные в ПВХ-переплетах, обеспечивают естественное освещение путей эвакуации Лестничные марши обеих лестничных клеток расположены вдоль торцевых стен здания, зазор между лестничными маршами составляет более 75мм  для свободного прохождения пожарного рукава.</w:t>
      </w:r>
    </w:p>
    <w:p>
      <w:pPr>
        <w:pStyle w:val="Normal"/>
        <w:ind w:right="-1" w:firstLine="709"/>
        <w:rPr/>
      </w:pPr>
      <w:r>
        <w:rPr/>
        <w:t xml:space="preserve">Уклон лестничных маршей — 1:2 с постоянной шириной ступеней и высотой проступей в пределах лестничной клетки. Ширина марша —  1.35 м, ширина площадок выполнена не менее ширины марша. Ограждение лестничных маршей и площадок лестничных клеток — стальное высотой 1,2 м. </w:t>
      </w:r>
    </w:p>
    <w:p>
      <w:pPr>
        <w:pStyle w:val="Normal"/>
        <w:ind w:right="-1" w:firstLine="709"/>
        <w:rPr/>
      </w:pPr>
      <w:r>
        <w:rPr/>
        <w:t>В лестничных клетках не предусматривается устройство помещений, прокладка электрических кабелей и проводов, транзитных воздуховодов, а также оборудования, выступающего из плоскости стен на высоте ниже 2,2м от поверхностей проступей и лестничных площадок, ведущего к уменьшению расчетной ширины маршей и площадок. Устройство проемов во внутренних стенах лестничных клеток не предусматривается. Лифтовой холл (зона безопасности МГН) отделен от  поэтажных коридоров и тамбура перегородками и перекрытием с пределом огнестойкости не менее REI 60. Лифт - пассажирский грузоподъемностью 630кг. Скорость подъема лифта - 1.0 м/сек., предусмотрен подъем пожарных подразделений. Шахта лифта — полнотелый керамический кирпич толщиной 250 мм с пределом огнестойкости REI &gt;120 с заполнением дверных проемов противопожарными дверями с пределом огнестойкости EI 60. Выход на кровлю предусмотрен непосредственно из лестничной клетки по закрепленной металлической стремянке через противопожарную дверь размером 0,9х2,02 м с пределом огнестойкости EI30.</w:t>
      </w:r>
    </w:p>
    <w:p>
      <w:pPr>
        <w:pStyle w:val="Normal"/>
        <w:ind w:right="-1" w:firstLine="709"/>
        <w:rPr/>
      </w:pPr>
      <w:r>
        <w:rPr/>
        <w:t>Подвал  на отм. -2,350 предназначен для прокладки инженерных сетей и размещения технических помещений, не имеет сообщения с нежилыми помещениями (офисами) и составляет два отдельных пожарных отсека.</w:t>
      </w:r>
    </w:p>
    <w:p>
      <w:pPr>
        <w:pStyle w:val="Normal"/>
        <w:ind w:right="-1" w:firstLine="709"/>
        <w:rPr/>
      </w:pPr>
      <w:r>
        <w:rPr/>
        <w:t>На путях эвакуации здания с нежилыми помещениями (лифтовой холл, лестничные клетки) отделка стен, полов и потолков соответствует классу пожарной опасности строительных материалов КМ1- стены и потолки, КМ2- полы.</w:t>
      </w:r>
    </w:p>
    <w:p>
      <w:pPr>
        <w:pStyle w:val="Normal"/>
        <w:ind w:right="-1" w:firstLine="709"/>
        <w:rPr/>
      </w:pPr>
      <w:r>
        <w:rPr/>
        <w:t>Объемно-планировочные и конструктивные решения путей эвакуации и эвакуационных выходов предусмотрены в соответствии с требованием СП 1.13130.2009.</w:t>
      </w:r>
    </w:p>
    <w:p>
      <w:pPr>
        <w:pStyle w:val="Normal"/>
        <w:ind w:right="-1" w:firstLine="709"/>
        <w:rPr/>
      </w:pPr>
      <w:r>
        <w:rPr/>
        <w:t xml:space="preserve">В качестве средств первичного пожаротушения в квартирах на сети хозяйственно-питьевого водопровода предусматривается отдельный кран для присоединения шланга, оборудованного распылителем, для использования его для ликвидации очага возгорания. </w:t>
      </w:r>
    </w:p>
    <w:p>
      <w:pPr>
        <w:pStyle w:val="Normal"/>
        <w:ind w:right="-1" w:firstLine="709"/>
        <w:rPr/>
      </w:pPr>
      <w:r>
        <w:rPr/>
        <w:t xml:space="preserve">Дальность струи составляет 3,0м при давлении 0,4 МПа на входе в устройство. Рабочее давление – 0,6 МПа. Диаметр проходного сечения рукава – 19,0 мм. </w:t>
      </w:r>
    </w:p>
    <w:p>
      <w:pPr>
        <w:pStyle w:val="Normal"/>
        <w:ind w:right="-1" w:firstLine="709"/>
        <w:rPr/>
      </w:pPr>
      <w:r>
        <w:rPr/>
        <w:t xml:space="preserve">В системе мусороудаления предусматривается автоматическая установка пожаротушения с защитой ствола и мусоросборной камеры спринклерными оросителями, расположенными на кольцевом водопроводу Ду=25 мм. </w:t>
      </w:r>
    </w:p>
    <w:p>
      <w:pPr>
        <w:pStyle w:val="Normal"/>
        <w:ind w:right="-1" w:firstLine="709"/>
        <w:rPr/>
      </w:pPr>
      <w:r>
        <w:rPr/>
        <w:t>Трубопроводы (стояки и магистрали)  системы отопления предусмотрены из негорючих материалов пожарной опасностью К0. Зазоры в местах прохода трубопроводов инженерных систем через строительные конструкции уплотнены жгутом из стеклянных комплексных нитей по ГОСТ 17139-79.</w:t>
      </w:r>
    </w:p>
    <w:p>
      <w:pPr>
        <w:pStyle w:val="Normal"/>
        <w:ind w:right="-1" w:firstLine="709"/>
        <w:rPr/>
      </w:pPr>
      <w:r>
        <w:rPr/>
        <w:t>Вентканалы системы естественной вентиляции выполнены в строительных конструкциях с воздушными затворами, предотвращающими задымление вышерасположенного этажа при возникновении очага возгорания.</w:t>
      </w:r>
    </w:p>
    <w:p>
      <w:pPr>
        <w:pStyle w:val="Normal"/>
        <w:ind w:right="-1" w:firstLine="709"/>
        <w:rPr/>
      </w:pPr>
      <w:r>
        <w:rPr/>
        <w:t>Проектом предусматривается оборудовать все помещения квартир, за исключением помещений ванных комнат и санузлов, автономными оптико-электронными дымовыми пожарными извещателями.</w:t>
      </w:r>
    </w:p>
    <w:p>
      <w:pPr>
        <w:pStyle w:val="Normal"/>
        <w:ind w:right="-1" w:firstLine="709"/>
        <w:rPr/>
      </w:pPr>
      <w:r>
        <w:rPr/>
        <w:t>Так как в соответствии с СП 5.13130-2009 10-ти этажные здания не подлежат оборудованию системой автоматической пожарной сигнализации, проектом предусматривается возвращение кабины лифта на основной посадочный этаж от ручного пожарного извещателя ИПР.</w:t>
      </w:r>
    </w:p>
    <w:p>
      <w:pPr>
        <w:pStyle w:val="Normal"/>
        <w:ind w:right="-1" w:firstLine="709"/>
        <w:rPr/>
      </w:pPr>
      <w:r>
        <w:rPr/>
        <w:t>Установка ручного пожарного извещателя «ИПР-Кск» предусмотрена в герметичном боксе на 1 этаже здания.  Проводка выполнена кабелем повышенной огнестойкости КСРВнг(А)-FRLS 2х0,5.</w:t>
      </w:r>
    </w:p>
    <w:p>
      <w:pPr>
        <w:pStyle w:val="Normal"/>
        <w:ind w:right="-1" w:firstLine="709"/>
        <w:rPr/>
      </w:pPr>
      <w:r>
        <w:rPr/>
        <w:t>В соответствии с СП 5.13130-2009 «Системы противопожарной защиты. Установки пожарной сигнализации и пожаротушения автоматические. Нормы и правила проектирования» оборудованию автоматической пожарной сигнализацией подлежат прихожие квартир, лифтовые холлы, внеквартирные коридоры каждого этажа, офисные помещения на 1-м этаже секции 8 и помещения 3-х этажного здания нежилых помещений (офисов).</w:t>
      </w:r>
    </w:p>
    <w:p>
      <w:pPr>
        <w:pStyle w:val="Normal"/>
        <w:ind w:right="-1" w:firstLine="709"/>
        <w:rPr/>
      </w:pPr>
      <w:r>
        <w:rPr/>
        <w:t>Система пожарной сигнализации и оповещения людей о пожаре в секции 8 и нежилом здании построена на основе оборудования ЗАО «НВП «Болид». Автоматическая установка пожарной сигнализации и система оповещения предназначены для обнаружения очага возгорания в контролируемых помещениях и автоматического оповещения о пожаре при помощи оповещателей.  Лифтовые холлы и внеквартирные коридоры каждого этажа дома оборудуются шлейфами пожарной сигнализации, в которые включаются дымовые пожарные извещатели типа «ИП 212-141» и ручные пожарные  извещатели  типа «ИПР 513-10».   Ручные пожарные извещатели устанавливаются на стене, на высоте 1,5 м от уровня пола. Провода пожарной сигнализации проложить в кабельном канале. Прихожие квартир оборудуются шлейфами пожарной сигнализации, в которые включаются тепловые пожарные извещатели типа ИП103-5/2-А1.</w:t>
      </w:r>
    </w:p>
    <w:p>
      <w:pPr>
        <w:pStyle w:val="Normal"/>
        <w:ind w:right="-1" w:firstLine="709"/>
        <w:rPr/>
      </w:pPr>
      <w:r>
        <w:rPr/>
        <w:t>Сеть системы пожарной сигнализации выполняется кабелем повышенной огнестойкости типа КПКВнг(А)-FRLS1х2х0,5. Провода шлейфов пожарной сигнализации прокладываются в кабельных каналах.</w:t>
      </w:r>
    </w:p>
    <w:p>
      <w:pPr>
        <w:pStyle w:val="Normal"/>
        <w:ind w:right="-1" w:firstLine="709"/>
        <w:rPr/>
      </w:pPr>
      <w:r>
        <w:rPr/>
        <w:t>Электропитание приборов пожарной сигнализации предусмотреть по первой категории ПУЭ через блоки резервного питания типа «СКАТ-2400» с АКБ.</w:t>
      </w:r>
    </w:p>
    <w:p>
      <w:pPr>
        <w:pStyle w:val="Normal"/>
        <w:ind w:right="-1" w:firstLine="709"/>
        <w:rPr/>
      </w:pPr>
      <w:r>
        <w:rPr/>
        <w:t xml:space="preserve">Система оповещения и управления эвакуацией людей при пожаре предусмотрена 1-го типа- в секции 8 с использованием звуковых оповещателей (сирен) типа «АС-24» и 2-го типа -в нежилых помещениях с установкой световых указателей «ВЫХОД»,   звуковых оповещателей  «АС-12».   </w:t>
      </w:r>
    </w:p>
    <w:p>
      <w:pPr>
        <w:pStyle w:val="Normal"/>
        <w:ind w:right="-1" w:firstLine="709"/>
        <w:rPr/>
      </w:pPr>
      <w:r>
        <w:rPr/>
        <w:t>Системы противопожарной защиты приняты в соответствии с требованиями СП 3.13130.2009, СП 5.13130.2009, СП 6.13130.2013.</w:t>
      </w:r>
    </w:p>
    <w:p>
      <w:pPr>
        <w:pStyle w:val="Normal"/>
        <w:ind w:right="-1" w:firstLine="709"/>
        <w:rPr/>
      </w:pPr>
      <w:r>
        <w:rPr/>
        <w:t>Питание лифтов и аварийного освещения жилого дома, относящихся по надежности электроснабжения к I –й категории надежности электроснабжения согласно СП 31-110-2003 и ПУЭ, предусматривается от отдельных щитов с устройством АВР, подключенных к трансформаторной подстанции по двум взаиморезервируемым кабельным линиям. В жилом доме предусматривается эвакуационное освещение промежуточных лестничных площадок, лифтовых холлов. Также к сети аварийного освещения присоединяются светильники,  освещающие входы в здания и мусоросборные камеры, номерной знак. Применяются кабели с медными жилами марок: ВВГнг(А)-LS не распространяющего горение и огнестойкий ВВГнг(А)-FRLS с низким дымо- и газовыделением.</w:t>
      </w:r>
    </w:p>
    <w:p>
      <w:pPr>
        <w:pStyle w:val="Normal"/>
        <w:ind w:right="-1" w:firstLine="709"/>
        <w:rPr/>
      </w:pPr>
      <w:r>
        <w:rPr/>
        <w:t xml:space="preserve">Светильники аварийного освещения комплектуются блоками бесперебойного питания. При отключении напряжения время работы светильника не менее 1 часа на аккумуляторах. Управление рабочим и аварийным освещением выполняется от клавишных выключателей </w:t>
      </w:r>
    </w:p>
    <w:p>
      <w:pPr>
        <w:pStyle w:val="Normal"/>
        <w:ind w:right="-1" w:firstLine="709"/>
        <w:rPr/>
      </w:pPr>
      <w:r>
        <w:rPr/>
        <w:t>Заделка зазоров между трубами (проемами) и строительной конструкцией, а также между проводами и кабелями, проложенными в трубах (проемах), легкоудаляемой массой из несгораемого материала обеспечивает огнестойкость, соответствующую огнестойкости строительных конструкций.</w:t>
      </w:r>
    </w:p>
    <w:p>
      <w:pPr>
        <w:pStyle w:val="Normal"/>
        <w:ind w:right="-1" w:firstLine="709"/>
        <w:rPr/>
      </w:pPr>
      <w:r>
        <w:rPr/>
        <w:t>Противодымная защита многоквартирного многоэтажного жилого дома (секция 8) и нежилых помещений запроектирована в соответствии с требованиями СП 7.13130.2013 «Отопление, вентиляция и кондиционирование. Требования пожарной безопасности».</w:t>
      </w:r>
    </w:p>
    <w:p>
      <w:pPr>
        <w:pStyle w:val="Normal"/>
        <w:ind w:right="-1" w:firstLine="709"/>
        <w:rPr/>
      </w:pPr>
      <w:r>
        <w:rPr/>
        <w:t>Комплексная автоматизация системы противодымной вентиляции выполнена на оборудовании фирмы ЗАО НВП «Болид».</w:t>
      </w:r>
    </w:p>
    <w:p>
      <w:pPr>
        <w:pStyle w:val="Normal"/>
        <w:ind w:right="-1" w:firstLine="709"/>
        <w:rPr/>
      </w:pPr>
      <w:r>
        <w:rPr/>
        <w:t xml:space="preserve">Адресная система секции 8 предназначена для формирования сигналов на управление: </w:t>
      </w:r>
    </w:p>
    <w:p>
      <w:pPr>
        <w:pStyle w:val="Normal"/>
        <w:ind w:right="-1" w:firstLine="709"/>
        <w:rPr/>
      </w:pPr>
      <w:r>
        <w:rPr/>
        <w:t xml:space="preserve">• </w:t>
      </w:r>
      <w:r>
        <w:rPr/>
        <w:t xml:space="preserve">вытяжными системами дымоудаления ДУ1, ДУ2; </w:t>
      </w:r>
    </w:p>
    <w:p>
      <w:pPr>
        <w:pStyle w:val="Normal"/>
        <w:ind w:right="-1" w:firstLine="709"/>
        <w:rPr/>
      </w:pPr>
      <w:r>
        <w:rPr/>
        <w:t xml:space="preserve">• </w:t>
      </w:r>
      <w:r>
        <w:rPr/>
        <w:t xml:space="preserve">приточными противодымными системами ПД1…ПД5; </w:t>
      </w:r>
    </w:p>
    <w:p>
      <w:pPr>
        <w:pStyle w:val="Normal"/>
        <w:ind w:right="-1" w:firstLine="709"/>
        <w:rPr/>
      </w:pPr>
      <w:r>
        <w:rPr/>
        <w:t xml:space="preserve">• </w:t>
      </w:r>
      <w:r>
        <w:rPr/>
        <w:t xml:space="preserve">системой клапанов дымоудаления ИМ… с реверсивными электроприводами фирмы «BELIMO»; • отключение вентсистем при пожаре; </w:t>
      </w:r>
    </w:p>
    <w:p>
      <w:pPr>
        <w:pStyle w:val="Normal"/>
        <w:ind w:right="-1" w:firstLine="709"/>
        <w:rPr/>
      </w:pPr>
      <w:r>
        <w:rPr/>
        <w:t xml:space="preserve">• </w:t>
      </w:r>
      <w:r>
        <w:rPr/>
        <w:t>опускание лифтов.</w:t>
      </w:r>
    </w:p>
    <w:p>
      <w:pPr>
        <w:pStyle w:val="Normal"/>
        <w:ind w:right="-1" w:firstLine="709"/>
        <w:rPr/>
      </w:pPr>
      <w:r>
        <w:rPr/>
        <w:t xml:space="preserve">Адресная система нежилых помещений предназначена для управления системой  противодымной защиты  здания и формирование сигналов на управление: </w:t>
      </w:r>
    </w:p>
    <w:p>
      <w:pPr>
        <w:pStyle w:val="Normal"/>
        <w:ind w:right="-1" w:firstLine="709"/>
        <w:rPr/>
      </w:pPr>
      <w:r>
        <w:rPr/>
        <w:t xml:space="preserve">• </w:t>
      </w:r>
      <w:r>
        <w:rPr/>
        <w:t xml:space="preserve">системой дымоудаления ДУ3; </w:t>
      </w:r>
    </w:p>
    <w:p>
      <w:pPr>
        <w:pStyle w:val="Normal"/>
        <w:ind w:right="-1" w:firstLine="709"/>
        <w:rPr/>
      </w:pPr>
      <w:r>
        <w:rPr/>
        <w:t xml:space="preserve">• </w:t>
      </w:r>
      <w:r>
        <w:rPr/>
        <w:t xml:space="preserve">противодымными системами ПД6…ПД8, ПДЕ1; </w:t>
      </w:r>
    </w:p>
    <w:p>
      <w:pPr>
        <w:pStyle w:val="Normal"/>
        <w:ind w:right="-1" w:firstLine="709"/>
        <w:rPr/>
      </w:pPr>
      <w:r>
        <w:rPr/>
        <w:t xml:space="preserve">• </w:t>
      </w:r>
      <w:r>
        <w:rPr/>
        <w:t xml:space="preserve">системой дымовых клапанов ИМ1,2-ДУ3, ИМ1-ПД6, ИМ1,2-ПД8, ИМ1.2- ПДЕ1 с реверсивными  электроприводами; </w:t>
      </w:r>
    </w:p>
    <w:p>
      <w:pPr>
        <w:pStyle w:val="Normal"/>
        <w:ind w:right="-1" w:firstLine="709"/>
        <w:rPr/>
      </w:pPr>
      <w:r>
        <w:rPr/>
        <w:t xml:space="preserve">• </w:t>
      </w:r>
      <w:r>
        <w:rPr/>
        <w:t xml:space="preserve">отключение вытяжных вентсистем В8-В12 при пожаре; </w:t>
      </w:r>
    </w:p>
    <w:p>
      <w:pPr>
        <w:pStyle w:val="Normal"/>
        <w:ind w:right="-1" w:firstLine="709"/>
        <w:rPr/>
      </w:pPr>
      <w:r>
        <w:rPr/>
        <w:t xml:space="preserve">• </w:t>
      </w:r>
      <w:r>
        <w:rPr/>
        <w:t>опускание лифта.</w:t>
      </w:r>
    </w:p>
    <w:p>
      <w:pPr>
        <w:pStyle w:val="54"/>
        <w:widowControl/>
        <w:suppressAutoHyphens w:val="true"/>
        <w:spacing w:lineRule="auto"/>
        <w:ind w:right="-1" w:firstLine="709"/>
        <w:jc w:val="both"/>
        <w:rPr>
          <w:sz w:val="24"/>
          <w:szCs w:val="24"/>
          <w:lang w:val="ru-RU"/>
        </w:rPr>
      </w:pPr>
      <w:r>
        <w:rPr>
          <w:sz w:val="24"/>
          <w:szCs w:val="24"/>
          <w:lang w:val="ru-RU"/>
        </w:rPr>
        <w:t>На вентиляционных воздуховодах в местах пересечения противопожарных преград предусмотрены огнезадерживающие клапаны с пределом огнестойкости, соответствующим требованиям СП 7.13130.2009 «Отопление, вентиляция и кондиционирование. Противопожарные требования».</w:t>
      </w:r>
    </w:p>
    <w:p>
      <w:pPr>
        <w:pStyle w:val="Normal"/>
        <w:spacing w:lineRule="auto"/>
        <w:ind w:right="-1" w:firstLine="709"/>
        <w:rPr/>
      </w:pPr>
      <w:r>
        <w:rPr/>
        <w:t>Ограждающие строительные конструкции каналов предусмотрены дымогазонепроницаемыми из негорючих материалов.</w:t>
      </w:r>
    </w:p>
    <w:p>
      <w:pPr>
        <w:pStyle w:val="Normal"/>
        <w:spacing w:lineRule="auto"/>
        <w:ind w:right="-1" w:firstLine="709"/>
        <w:rPr/>
      </w:pPr>
      <w:r>
        <w:rPr/>
        <w:t>Выброс продуктов горения предусмотрен на высоте не менее 2 метра от уровня кровли. Параметры систем дымоудаления определяются расчётами.</w:t>
      </w:r>
    </w:p>
    <w:p>
      <w:pPr>
        <w:pStyle w:val="Normal"/>
        <w:spacing w:lineRule="auto"/>
        <w:ind w:right="-1" w:firstLine="709"/>
        <w:rPr/>
      </w:pPr>
      <w:r>
        <w:rPr/>
        <w:t>Запуск систем дымоудаления и подпора воздуха при пожаре осуществляется от системы автоматической пожарной сигнализации с установкой дымовых пожарных извещателей и ручных пожарных извещателей.</w:t>
      </w:r>
    </w:p>
    <w:p>
      <w:pPr>
        <w:pStyle w:val="Normal"/>
        <w:spacing w:lineRule="auto"/>
        <w:ind w:right="-1" w:firstLine="709"/>
        <w:rPr/>
      </w:pPr>
      <w:r>
        <w:rPr/>
        <w:t>В соответствии с требованием  п. 7.10 СП 7.13130.2009 воздуховоды и каналы систем противодымной вентиляции предусмотрены из негорючих материалов группы П с пределами огнестойкости:</w:t>
      </w:r>
    </w:p>
    <w:p>
      <w:pPr>
        <w:pStyle w:val="Normal"/>
        <w:spacing w:lineRule="auto"/>
        <w:ind w:right="-1" w:firstLine="709"/>
        <w:rPr/>
      </w:pPr>
      <w:r>
        <w:rPr/>
        <w:t xml:space="preserve">- не менее </w:t>
      </w:r>
      <w:r>
        <w:rPr>
          <w:lang w:val="en-US"/>
        </w:rPr>
        <w:t>EI</w:t>
      </w:r>
      <w:r>
        <w:rPr/>
        <w:t xml:space="preserve"> 150 для транзитных воздуховодов и шахт;</w:t>
      </w:r>
    </w:p>
    <w:p>
      <w:pPr>
        <w:pStyle w:val="Normal"/>
        <w:spacing w:lineRule="auto"/>
        <w:ind w:right="-1" w:firstLine="709"/>
        <w:rPr/>
      </w:pPr>
      <w:r>
        <w:rPr/>
        <w:t xml:space="preserve">-  не менее </w:t>
      </w:r>
      <w:r>
        <w:rPr>
          <w:lang w:val="en-US"/>
        </w:rPr>
        <w:t>EI</w:t>
      </w:r>
      <w:r>
        <w:rPr/>
        <w:t xml:space="preserve"> 30 для горизонтальных и  не менее </w:t>
      </w:r>
      <w:r>
        <w:rPr>
          <w:lang w:val="en-US"/>
        </w:rPr>
        <w:t>EI</w:t>
      </w:r>
      <w:r>
        <w:rPr/>
        <w:t xml:space="preserve"> 45 для вертикальных  воздуховодов и шахт в пределах обслуживаемого пожарного отсека.</w:t>
      </w:r>
    </w:p>
    <w:p>
      <w:pPr>
        <w:pStyle w:val="Normal"/>
        <w:spacing w:lineRule="auto"/>
        <w:ind w:right="-1" w:firstLine="709"/>
        <w:rPr/>
      </w:pPr>
      <w:r>
        <w:rPr/>
        <w:t xml:space="preserve">При удалении продуктов горения из коридоров дымоприемные устройства размещены на шахтах под потолком коридора, но не ниже верхнего уровня дверного проема. </w:t>
      </w:r>
    </w:p>
    <w:p>
      <w:pPr>
        <w:pStyle w:val="Normal"/>
        <w:spacing w:lineRule="auto"/>
        <w:ind w:right="-1" w:firstLine="709"/>
        <w:rPr/>
      </w:pPr>
      <w:r>
        <w:rPr/>
        <w:t>Включение системы дымоудаления происходит автоматически по сигналу «Пожар» от приборов пожарной сигнализации, либо при местном запуске системы, для чего  предусмотрены кнопки управления.</w:t>
      </w:r>
    </w:p>
    <w:p>
      <w:pPr>
        <w:pStyle w:val="Normal"/>
        <w:ind w:right="-1" w:firstLine="709"/>
        <w:rPr/>
      </w:pPr>
      <w:r>
        <w:rPr/>
        <w:t xml:space="preserve">Внутреннее пожаротушение 17-ти этажного жилого дома предусмотрено от внутренних пожарных кранов, расположенных на каждом этаже. Расчетный расход воды на внутреннее пожаротушение жилого дома, принят на основании СП 10.13130.2009 «Системы противопожарной защиты. Внутренний противопожарный водопровод. Требования пожарной безопасности», табл.1 и составляет  — 3 струи по 2,5 л/с. Согласно СП 10.13130.2009 «Системы противопожарной защиты. </w:t>
      </w:r>
    </w:p>
    <w:p>
      <w:pPr>
        <w:pStyle w:val="Normal"/>
        <w:ind w:right="-1" w:firstLine="709"/>
        <w:rPr/>
      </w:pPr>
      <w:r>
        <w:rPr/>
        <w:t>На сети внутреннего противопожарного водопровода устанавливаются 2 выведенных наружу патрубка с соединительными головками диаметром 80 мм для подключения передвижной техники с установкой в здании обратного клапана и нормальной открытой опломбированной задвижки.</w:t>
      </w:r>
    </w:p>
    <w:p>
      <w:pPr>
        <w:pStyle w:val="Normal"/>
        <w:ind w:right="-1" w:firstLine="709"/>
        <w:rPr/>
      </w:pPr>
      <w:r>
        <w:rPr/>
        <w:t xml:space="preserve">Внутреннее пожаротушение нежилых помещений предусмотрено от внутренних пожарных кранов, расположенных на каждом этаже. </w:t>
      </w:r>
    </w:p>
    <w:p>
      <w:pPr>
        <w:pStyle w:val="Normal"/>
        <w:ind w:right="-1" w:firstLine="709"/>
        <w:rPr/>
      </w:pPr>
      <w:r>
        <w:rPr/>
        <w:t>Расчетный расход воды на внутреннее пожаротушение принят на основании СП 10.13130.2009 «Системы противопожарной защиты. Внутренний противопожарный водопровод. Требования пожарной безопасности», табл.1 и составляет  — 1 струю по 2,6 л/с.</w:t>
      </w:r>
    </w:p>
    <w:p>
      <w:pPr>
        <w:pStyle w:val="Normal"/>
        <w:ind w:right="-1" w:firstLine="709"/>
        <w:rPr/>
      </w:pPr>
      <w:r>
        <w:rPr/>
        <w:t>Пожарные краны предусмотрены на высоте 1.35±0.15 м согласно СП 10.13130.2009.</w:t>
      </w:r>
    </w:p>
    <w:p>
      <w:pPr>
        <w:pStyle w:val="Normal"/>
        <w:ind w:right="-1" w:firstLine="709"/>
        <w:rPr/>
      </w:pPr>
      <w:r>
        <w:rPr/>
        <w:t xml:space="preserve">Проектными решениями предусмотрена автоматизация систем внутреннего противопожарного водоснабжения путем устройства ручного и автоматического режима.  </w:t>
      </w:r>
    </w:p>
    <w:p>
      <w:pPr>
        <w:pStyle w:val="Normal"/>
        <w:ind w:right="-1" w:firstLine="709"/>
        <w:rPr/>
      </w:pPr>
      <w:r>
        <w:rPr/>
        <w:t>Проектными решениями предусмотрены организационно-технические мероприятия по обеспечению пожарной безопасности объекта капитального строительства.</w:t>
      </w:r>
    </w:p>
    <w:p>
      <w:pPr>
        <w:pStyle w:val="Normal"/>
        <w:ind w:right="-1" w:firstLine="709"/>
        <w:rPr>
          <w:color w:val="000000" w:themeColor="text1"/>
          <w:szCs w:val="28"/>
          <w:highlight w:val="yellow"/>
        </w:rPr>
      </w:pPr>
      <w:r>
        <w:rPr>
          <w:color w:val="000000" w:themeColor="text1"/>
          <w:szCs w:val="28"/>
          <w:highlight w:val="yellow"/>
        </w:rPr>
      </w:r>
    </w:p>
    <w:p>
      <w:pPr>
        <w:pStyle w:val="Normal"/>
        <w:ind w:right="-1" w:firstLine="709"/>
        <w:rPr>
          <w:color w:val="000000" w:themeColor="text1"/>
          <w:szCs w:val="28"/>
          <w:highlight w:val="yellow"/>
        </w:rPr>
      </w:pPr>
      <w:r>
        <w:rPr>
          <w:color w:val="000000" w:themeColor="text1"/>
          <w:szCs w:val="28"/>
          <w:highlight w:val="yellow"/>
        </w:rPr>
      </w:r>
    </w:p>
    <w:p>
      <w:pPr>
        <w:pStyle w:val="Normal"/>
        <w:widowControl/>
        <w:ind w:right="-1" w:hanging="0"/>
        <w:rPr>
          <w:rFonts w:eastAsia="Times New Roman"/>
          <w:b/>
          <w:b/>
          <w:color w:val="000000" w:themeColor="text1"/>
        </w:rPr>
      </w:pPr>
      <w:r>
        <w:rPr>
          <w:rFonts w:eastAsia="Times New Roman"/>
          <w:b/>
          <w:color w:val="000000" w:themeColor="text1"/>
        </w:rPr>
        <w:t>3.2.8. Мероприятия по обеспечению доступа инвалидов</w:t>
      </w:r>
    </w:p>
    <w:p>
      <w:pPr>
        <w:pStyle w:val="Normal"/>
        <w:widowControl/>
        <w:ind w:right="-1" w:firstLine="709"/>
        <w:rPr>
          <w:rFonts w:eastAsia="Times New Roman"/>
          <w:b/>
          <w:b/>
          <w:color w:val="000000" w:themeColor="text1"/>
        </w:rPr>
      </w:pPr>
      <w:r>
        <w:rPr>
          <w:rFonts w:eastAsia="Times New Roman"/>
          <w:b/>
          <w:color w:val="000000" w:themeColor="text1"/>
        </w:rPr>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данном разделе рассматривается проектирование мероприятий по обеспечению доступа маломобильных групп населения (МГН) для позиции 4.</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Данный объект представляет собой многоквартирный жилой дом со встроенно-пристроенными помещениями делового, культурного и обслуживающего назначения.                  Жилой дом состоит из семи типовых 10-ти этажных (включая технический чердак) блок-секций и одной типовой 17-ти этажной (включая технический чердак) блок -секции с нижним техническим этажом для прокладки инженерных коммуникаций (подвалом). К жилому дому примыкает 3-х этажное здание, выполненное в монолитных конструкциях в котором  размещены нежилые помещения (офисы).</w:t>
      </w:r>
    </w:p>
    <w:p>
      <w:pPr>
        <w:pStyle w:val="Style49"/>
        <w:ind w:left="0" w:firstLine="720"/>
        <w:rPr/>
      </w:pPr>
      <w:r>
        <w:rPr/>
        <w:t>Пять сблокированных 10-ти этажных секций и 17-ти этажная секция соединены 3-х этажным зданием с нежилыми помещениями (офисами), выполненным в монолитных конструкциях.</w:t>
      </w:r>
    </w:p>
    <w:p>
      <w:pPr>
        <w:pStyle w:val="Standard"/>
        <w:spacing w:lineRule="auto" w:line="240"/>
        <w:ind w:right="-1" w:firstLine="720"/>
        <w:rPr>
          <w:rFonts w:ascii="Times New Roman" w:hAnsi="Times New Roman"/>
          <w:sz w:val="24"/>
        </w:rPr>
      </w:pPr>
      <w:r>
        <w:rPr>
          <w:rFonts w:ascii="Times New Roman" w:hAnsi="Times New Roman"/>
          <w:sz w:val="24"/>
          <w:szCs w:val="24"/>
        </w:rPr>
        <w:t>Строительство объекта запроектировано в 2 этапа:</w:t>
      </w:r>
    </w:p>
    <w:p>
      <w:pPr>
        <w:pStyle w:val="Standard"/>
        <w:spacing w:lineRule="auto" w:line="240"/>
        <w:ind w:right="-1" w:firstLine="720"/>
        <w:rPr>
          <w:rFonts w:ascii="Times New Roman" w:hAnsi="Times New Roman"/>
          <w:sz w:val="24"/>
        </w:rPr>
      </w:pPr>
      <w:r>
        <w:rPr>
          <w:rFonts w:ascii="Times New Roman" w:hAnsi="Times New Roman"/>
          <w:sz w:val="24"/>
          <w:szCs w:val="24"/>
        </w:rPr>
        <w:t>1 этап — пять сблокированных 10-ти этажных (включая технический чердак) блок-секций — 1...5 секции;)</w:t>
      </w:r>
    </w:p>
    <w:p>
      <w:pPr>
        <w:pStyle w:val="Standard"/>
        <w:spacing w:lineRule="auto" w:line="240"/>
        <w:ind w:right="-1" w:firstLine="720"/>
        <w:rPr>
          <w:rFonts w:ascii="Times New Roman" w:hAnsi="Times New Roman"/>
          <w:sz w:val="24"/>
        </w:rPr>
      </w:pPr>
      <w:r>
        <w:rPr>
          <w:rFonts w:ascii="Times New Roman" w:hAnsi="Times New Roman"/>
          <w:sz w:val="24"/>
          <w:szCs w:val="24"/>
        </w:rPr>
        <w:t>2 этап — две 10-ти этажные  (включая технический чердак) блок-секции — 6-я и 7-я и одна 17-ти этажная (включая технический чердак) блок-секция — 8-я, сблокированные между собой и соединенные с 1-ой секцией 3-х этажным зданием  с нежилыми помещениями (офисами).</w:t>
      </w:r>
    </w:p>
    <w:p>
      <w:pPr>
        <w:pStyle w:val="Standard"/>
        <w:spacing w:lineRule="auto" w:line="240"/>
        <w:ind w:right="-1" w:firstLine="720"/>
        <w:rPr>
          <w:rFonts w:ascii="Times New Roman" w:hAnsi="Times New Roman"/>
          <w:sz w:val="24"/>
        </w:rPr>
      </w:pPr>
      <w:r>
        <w:rPr>
          <w:rFonts w:ascii="Times New Roman" w:hAnsi="Times New Roman"/>
          <w:sz w:val="24"/>
          <w:szCs w:val="24"/>
        </w:rPr>
        <w:t>Все секции жилого дома — повторного применения, крупнопанельные в конструкциях серии 1.090.1-1/88 (завод-изготовитель — ЗАО Тольяттинский завод ЖБИ, г.Тольятти).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r>
    </w:p>
    <w:p>
      <w:pPr>
        <w:pStyle w:val="Textbody"/>
        <w:spacing w:before="0" w:after="0"/>
        <w:ind w:left="0" w:right="-1" w:firstLine="709"/>
        <w:jc w:val="both"/>
        <w:rPr>
          <w:rFonts w:ascii="Times New Roman" w:hAnsi="Times New Roman" w:cs="Times New Roman"/>
          <w:b/>
          <w:b/>
          <w:bCs/>
        </w:rPr>
      </w:pPr>
      <w:r>
        <w:rPr>
          <w:rFonts w:cs="Times New Roman" w:ascii="Times New Roman" w:hAnsi="Times New Roman"/>
          <w:b/>
          <w:bCs/>
        </w:rPr>
        <w:t>В жилых секциях расположены:</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подвал,</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- 1,2 и 3-х комнатные квартиры, расположенные с 1 по 9 этажи (для секций с 1 по 7), со 2 по 16 этажи — для секции 8,</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технический чердак.</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секции 8 на первом этаже расположены офисные помещении.</w:t>
      </w:r>
    </w:p>
    <w:p>
      <w:pPr>
        <w:pStyle w:val="Textbody"/>
        <w:spacing w:before="0" w:after="0"/>
        <w:ind w:left="0" w:right="-1" w:firstLine="709"/>
        <w:jc w:val="both"/>
        <w:rPr>
          <w:rFonts w:ascii="Times New Roman" w:hAnsi="Times New Roman" w:cs="Times New Roman"/>
          <w:b/>
          <w:b/>
          <w:bCs/>
        </w:rPr>
      </w:pPr>
      <w:r>
        <w:rPr>
          <w:rFonts w:cs="Times New Roman" w:ascii="Times New Roman" w:hAnsi="Times New Roman"/>
          <w:b/>
          <w:bCs/>
        </w:rPr>
        <w:t>Нежилые помещения (офисы):</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подвал,</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с 1 по 3 этажи — помещения для размещения офисов.</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Расчётное количество работающих — 50 человек.</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Все </w:t>
      </w:r>
      <w:r>
        <w:rPr>
          <w:rFonts w:cs="Times New Roman" w:ascii="Times New Roman" w:hAnsi="Times New Roman"/>
          <w:b/>
          <w:bCs/>
        </w:rPr>
        <w:t>жилые секции</w:t>
      </w:r>
      <w:r>
        <w:rPr>
          <w:rFonts w:cs="Times New Roman" w:ascii="Times New Roman" w:hAnsi="Times New Roman"/>
          <w:b/>
          <w:bCs/>
          <w:sz w:val="26"/>
          <w:szCs w:val="26"/>
        </w:rPr>
        <w:t xml:space="preserve"> </w:t>
      </w:r>
      <w:r>
        <w:rPr>
          <w:rFonts w:cs="Times New Roman" w:ascii="Times New Roman" w:hAnsi="Times New Roman"/>
        </w:rPr>
        <w:t xml:space="preserve"> имеют общую площадь квартир на этаже до 500 м</w:t>
      </w:r>
      <w:r>
        <w:rPr>
          <w:rFonts w:cs="Times New Roman" w:ascii="Times New Roman" w:hAnsi="Times New Roman"/>
          <w:vertAlign w:val="superscript"/>
        </w:rPr>
        <w:t>2</w:t>
      </w:r>
      <w:r>
        <w:rPr>
          <w:rFonts w:cs="Times New Roman" w:ascii="Times New Roman" w:hAnsi="Times New Roman"/>
        </w:rPr>
        <w:t>.</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Высота здания от поверхности проезда пожарной техники до нижней границы окна верхнего этажа составляет менее 50м.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Жилые этажи соединяются между собой лестнично-лифтовым блоком.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b/>
        </w:rPr>
        <w:t>Лестнично-лифтовый блок</w:t>
      </w:r>
      <w:r>
        <w:rPr>
          <w:rFonts w:cs="Times New Roman" w:ascii="Times New Roman" w:hAnsi="Times New Roman"/>
        </w:rPr>
        <w:t xml:space="preserve"> объединяет лестничную клетку «типа Л1» с лифтом — для секций с 1 по 7 и лестничную клетку типа Н2 с лифтами — для секции 8.</w:t>
      </w:r>
    </w:p>
    <w:p>
      <w:pPr>
        <w:pStyle w:val="Textbody"/>
        <w:spacing w:before="0" w:after="0"/>
        <w:ind w:left="0" w:right="-1" w:firstLine="709"/>
        <w:jc w:val="both"/>
        <w:rPr>
          <w:rFonts w:ascii="Times New Roman" w:hAnsi="Times New Roman" w:cs="Times New Roman"/>
          <w:b/>
          <w:b/>
          <w:bCs/>
          <w:sz w:val="26"/>
          <w:szCs w:val="26"/>
        </w:rPr>
      </w:pPr>
      <w:r>
        <w:rPr>
          <w:rFonts w:cs="Times New Roman" w:ascii="Times New Roman" w:hAnsi="Times New Roman"/>
          <w:b/>
          <w:bCs/>
        </w:rPr>
        <w:t xml:space="preserve">В нежилых помещениях (офисах)  </w:t>
      </w:r>
      <w:r>
        <w:rPr>
          <w:rFonts w:cs="Times New Roman" w:ascii="Times New Roman" w:hAnsi="Times New Roman"/>
        </w:rPr>
        <w:t>предусмотрен лифт для транспортирования МГН на 2 и 3 этажи.</w:t>
      </w:r>
    </w:p>
    <w:p>
      <w:pPr>
        <w:pStyle w:val="Textbody"/>
        <w:spacing w:before="0" w:after="0"/>
        <w:ind w:left="0" w:right="-1" w:firstLine="709"/>
        <w:jc w:val="both"/>
        <w:rPr>
          <w:rFonts w:ascii="Times New Roman" w:hAnsi="Times New Roman" w:cs="Times New Roman"/>
          <w:b/>
          <w:b/>
          <w:bCs/>
          <w:sz w:val="26"/>
          <w:szCs w:val="26"/>
        </w:rPr>
      </w:pPr>
      <w:r>
        <w:rPr>
          <w:rFonts w:cs="Times New Roman" w:ascii="Times New Roman" w:hAnsi="Times New Roman"/>
        </w:rPr>
        <w:t>В</w:t>
      </w:r>
      <w:r>
        <w:rPr>
          <w:rFonts w:cs="Times New Roman" w:ascii="Times New Roman" w:hAnsi="Times New Roman"/>
          <w:b/>
          <w:bCs/>
        </w:rPr>
        <w:t xml:space="preserve"> жилых секциях с 1 по 7 </w:t>
      </w:r>
      <w:r>
        <w:rPr>
          <w:rFonts w:cs="Times New Roman" w:ascii="Times New Roman" w:hAnsi="Times New Roman"/>
        </w:rPr>
        <w:t>запроектирован пассажирский лифт г/п 1000 кг  и скоростью подъема 1,0 м/сек.</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 жилой секции 8 запроектированы 2 лифта: пассажирский лифт г/п 400 кг   и  грузопассажирский г/п 630 кг, предназначенный для перевозки пожарных  подразделений и эвакуации МГН из зоны безопасности. Скорость подъема  лифтов - 1,0 м/сек.</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Перечень мероприятий по обеспечению доступа инвалидов в проекте выполнен согласно заданию на проектирование, полученному от заказчика ООО «СК СТРОНЖ» в соответствии с исходными данными и действующими нормативными документами.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Согласно заданию на проектирование предусмотрен доступ МГН в здание без возможности проживания и эвакуация МГН на участок.</w:t>
      </w:r>
    </w:p>
    <w:p>
      <w:pPr>
        <w:pStyle w:val="Standard"/>
        <w:spacing w:lineRule="auto" w:line="240"/>
        <w:ind w:right="-1" w:firstLine="720"/>
        <w:rPr>
          <w:rFonts w:ascii="Times New Roman" w:hAnsi="Times New Roman"/>
          <w:sz w:val="24"/>
          <w:szCs w:val="24"/>
        </w:rPr>
      </w:pPr>
      <w:r>
        <w:rPr>
          <w:rFonts w:ascii="Times New Roman" w:hAnsi="Times New Roman"/>
          <w:sz w:val="24"/>
          <w:szCs w:val="24"/>
        </w:rPr>
        <w:t>Проектом предусматривается условия удобного передвижения маломобильных групп населения по территории согласно требованиям градостроительных норм. Все места пересечения пешеходных дорожек выполнены в одном уровне. В местах пересечения путей с проезжей частью улиц и дорог высота бортовых камней тротуара не превышает 1.5 см, ширина пониженного бордюра не менее 1,0 м. Конструкция укладки бортового камня в месте пересечения дана на листе «Конструкции покрытий». Ширина дорожек при двухстороннем движении инвалидов на колясках не менее 1,8 метра. При ширине тротуара 1,5метра по пути движения маломобильных групп населения не мене чем через 25м выполнены разъездные площадки размером не менее 1,8м х 2,0м.  Покрытие проездов  и тротуаров выполнено из мелкозернистого асфальтобетона на щебеночном основании. При устройстве покрытия предусмотрены полосы из бетонной тактильной плитки шириной 0,5метра на всю ширину тротуаров  на расстоянии 0,8метров от объектов информации: ступеней крылец, изменения направления движения, понижений бортового камня. При устройстве покрытия из плитки толщина швов между плитками предусматривается не более 0,015м согласно СНиП 35-01-2001, п.3.7.</w:t>
      </w:r>
    </w:p>
    <w:p>
      <w:pPr>
        <w:pStyle w:val="Standard"/>
        <w:spacing w:lineRule="auto" w:line="240"/>
        <w:ind w:right="-1" w:firstLine="720"/>
        <w:rPr>
          <w:rFonts w:ascii="Times New Roman" w:hAnsi="Times New Roman"/>
          <w:sz w:val="24"/>
          <w:szCs w:val="24"/>
        </w:rPr>
      </w:pPr>
      <w:r>
        <w:rPr>
          <w:rFonts w:ascii="Times New Roman" w:hAnsi="Times New Roman"/>
          <w:sz w:val="24"/>
          <w:szCs w:val="24"/>
        </w:rPr>
        <w:t>Проектом предусматриваются проектные уклоны:</w:t>
      </w:r>
    </w:p>
    <w:p>
      <w:pPr>
        <w:pStyle w:val="Western"/>
        <w:widowControl w:val="false"/>
        <w:suppressAutoHyphens w:val="true"/>
        <w:spacing w:beforeAutospacing="0" w:before="0" w:after="0"/>
        <w:ind w:right="-1" w:firstLine="709"/>
        <w:jc w:val="both"/>
        <w:textAlignment w:val="baseline"/>
        <w:rPr>
          <w:rFonts w:ascii="Times New Roman" w:hAnsi="Times New Roman" w:cs="Times New Roman"/>
        </w:rPr>
      </w:pPr>
      <w:r>
        <w:rPr>
          <w:rFonts w:cs="Times New Roman" w:ascii="Times New Roman" w:hAnsi="Times New Roman"/>
        </w:rPr>
        <w:t>- продольные по проездам – 5%-50%;</w:t>
      </w:r>
    </w:p>
    <w:p>
      <w:pPr>
        <w:pStyle w:val="Western"/>
        <w:widowControl w:val="false"/>
        <w:suppressAutoHyphens w:val="true"/>
        <w:spacing w:beforeAutospacing="0" w:before="0" w:after="0"/>
        <w:ind w:right="-1" w:firstLine="709"/>
        <w:jc w:val="both"/>
        <w:textAlignment w:val="baseline"/>
        <w:rPr>
          <w:rFonts w:ascii="Times New Roman" w:hAnsi="Times New Roman" w:cs="Times New Roman"/>
        </w:rPr>
      </w:pPr>
      <w:r>
        <w:rPr>
          <w:rFonts w:cs="Times New Roman" w:ascii="Times New Roman" w:hAnsi="Times New Roman"/>
        </w:rPr>
        <w:t>- продольные по тротуарам – 5% -50%;</w:t>
      </w:r>
    </w:p>
    <w:p>
      <w:pPr>
        <w:pStyle w:val="Western"/>
        <w:widowControl w:val="false"/>
        <w:suppressAutoHyphens w:val="true"/>
        <w:spacing w:beforeAutospacing="0" w:before="0" w:after="0"/>
        <w:ind w:right="-1" w:firstLine="709"/>
        <w:jc w:val="both"/>
        <w:textAlignment w:val="baseline"/>
        <w:rPr>
          <w:rFonts w:ascii="Times New Roman" w:hAnsi="Times New Roman" w:cs="Times New Roman"/>
        </w:rPr>
      </w:pPr>
      <w:r>
        <w:rPr>
          <w:rFonts w:cs="Times New Roman" w:ascii="Times New Roman" w:hAnsi="Times New Roman"/>
        </w:rPr>
        <w:t>- попере</w:t>
      </w:r>
      <w:r>
        <w:rPr>
          <w:rFonts w:cs="Times New Roman" w:ascii="Times New Roman" w:hAnsi="Times New Roman"/>
          <w:color w:val="000000"/>
        </w:rPr>
        <w:t>чные по проездам - 20%;</w:t>
      </w:r>
    </w:p>
    <w:p>
      <w:pPr>
        <w:pStyle w:val="Western"/>
        <w:widowControl w:val="false"/>
        <w:suppressAutoHyphens w:val="true"/>
        <w:spacing w:beforeAutospacing="0" w:before="0" w:after="0"/>
        <w:ind w:right="-1" w:firstLine="709"/>
        <w:jc w:val="both"/>
        <w:textAlignment w:val="baseline"/>
        <w:rPr>
          <w:rFonts w:ascii="Times New Roman" w:hAnsi="Times New Roman" w:cs="Times New Roman"/>
          <w:color w:val="000000"/>
          <w:sz w:val="20"/>
          <w:szCs w:val="20"/>
        </w:rPr>
      </w:pPr>
      <w:r>
        <w:rPr>
          <w:rFonts w:cs="Times New Roman" w:ascii="Times New Roman" w:hAnsi="Times New Roman"/>
          <w:color w:val="000000"/>
        </w:rPr>
        <w:t>- поперечные по тротуарам – 15%</w:t>
      </w:r>
      <w:r>
        <w:rPr>
          <w:rFonts w:cs="Times New Roman" w:ascii="Times New Roman" w:hAnsi="Times New Roman"/>
          <w:color w:val="000000"/>
          <w:sz w:val="20"/>
          <w:szCs w:val="20"/>
        </w:rPr>
        <w:t>.</w:t>
      </w:r>
    </w:p>
    <w:p>
      <w:pPr>
        <w:pStyle w:val="Standard"/>
        <w:spacing w:lineRule="auto" w:line="240"/>
        <w:ind w:right="-1" w:firstLine="720"/>
        <w:rPr>
          <w:rFonts w:ascii="Times New Roman" w:hAnsi="Times New Roman"/>
          <w:color w:val="000000"/>
          <w:sz w:val="24"/>
        </w:rPr>
      </w:pPr>
      <w:r>
        <w:rPr>
          <w:rFonts w:ascii="Times New Roman" w:hAnsi="Times New Roman"/>
          <w:color w:val="000000"/>
          <w:sz w:val="24"/>
          <w:szCs w:val="24"/>
        </w:rPr>
        <w:t>Согласно кадастровой выписке о земельном участке № 63-00-102/15-8349000 от 30.10.2015г, видом разрешенного использования земельного участка является: "Многоквартирные многоэтажные жилые дома с обеспечением машиноместами от 2/3 количества квартир в доме с встроенно-пристроенными помещениями делового, культурного и обслуживающего назначения (только из тех видов разрешенного использования, которые предусмотрены настоящей статьей)"</w:t>
      </w:r>
    </w:p>
    <w:p>
      <w:pPr>
        <w:pStyle w:val="Standard"/>
        <w:spacing w:lineRule="auto" w:line="240"/>
        <w:ind w:right="-1" w:firstLine="720"/>
        <w:rPr>
          <w:rFonts w:ascii="Times New Roman" w:hAnsi="Times New Roman"/>
          <w:color w:val="000000"/>
          <w:sz w:val="24"/>
        </w:rPr>
      </w:pPr>
      <w:r>
        <w:rPr>
          <w:rFonts w:ascii="Times New Roman" w:hAnsi="Times New Roman"/>
          <w:color w:val="000000"/>
          <w:sz w:val="24"/>
          <w:szCs w:val="24"/>
        </w:rPr>
        <w:t>Поскольку, из проектной документации следует, что в составе объекта капитального строительства, предусмотрено 352  жилых помещения (квартир), настоящим проектом предусмотрено обеспечение машиноместами многоквартирного дома в общем количестве 235 машиномест, из расчета 352 х 2/3.</w:t>
      </w:r>
    </w:p>
    <w:p>
      <w:pPr>
        <w:pStyle w:val="Standard"/>
        <w:spacing w:lineRule="auto" w:line="240"/>
        <w:ind w:right="-1" w:firstLine="720"/>
        <w:rPr>
          <w:rFonts w:ascii="Times New Roman" w:hAnsi="Times New Roman"/>
          <w:color w:val="000000"/>
          <w:sz w:val="24"/>
        </w:rPr>
      </w:pPr>
      <w:r>
        <w:rPr>
          <w:rFonts w:ascii="Times New Roman" w:hAnsi="Times New Roman"/>
          <w:color w:val="000000"/>
          <w:sz w:val="24"/>
          <w:szCs w:val="24"/>
        </w:rPr>
        <w:t>Обеспечение многоквартирного дома машиноместами в количестве 235 штук предусмотрено частично в границах земельного участка на котором непосредственно запроектирован многоквартирный дом, и частично в пределах близлежащей территории в соответствии с Проектом планировки территории, утвержденным постановлением мэрии городского округа Тольятти от  08.08.2014г. № 2883-п/1, следующим образом:</w:t>
      </w:r>
    </w:p>
    <w:p>
      <w:pPr>
        <w:pStyle w:val="Standard"/>
        <w:spacing w:lineRule="auto" w:line="240"/>
        <w:ind w:right="-1" w:firstLine="720"/>
        <w:rPr>
          <w:rFonts w:ascii="Times New Roman" w:hAnsi="Times New Roman"/>
          <w:color w:val="000000"/>
          <w:sz w:val="24"/>
        </w:rPr>
      </w:pPr>
      <w:r>
        <w:rPr>
          <w:rFonts w:ascii="Times New Roman" w:hAnsi="Times New Roman"/>
          <w:color w:val="000000"/>
          <w:sz w:val="24"/>
          <w:szCs w:val="24"/>
        </w:rPr>
        <w:t>Согласно кадастровой выписке о земельном участке № 63-00-102/15-8349000 от 30.10.2015г, видом разрешенного использования земельного участка является: "Многоквартирные многоэтажные жилые дома с обеспечением машиноместами от 2/3 количества квартир в доме с встроенно-пристроенными помещениями делового, культурного и обслуживающего назначения (только из тех видов разрешенного использования, которые предусмотрены настоящей статьей)"</w:t>
      </w:r>
    </w:p>
    <w:p>
      <w:pPr>
        <w:pStyle w:val="Standard"/>
        <w:spacing w:lineRule="auto" w:line="240"/>
        <w:ind w:right="-1" w:firstLine="720"/>
        <w:rPr>
          <w:rFonts w:ascii="Times New Roman" w:hAnsi="Times New Roman"/>
          <w:color w:val="000000"/>
          <w:sz w:val="24"/>
        </w:rPr>
      </w:pPr>
      <w:r>
        <w:rPr>
          <w:rFonts w:ascii="Times New Roman" w:hAnsi="Times New Roman"/>
          <w:color w:val="000000"/>
          <w:sz w:val="24"/>
          <w:szCs w:val="24"/>
        </w:rPr>
        <w:t>Обеспечение многоквартирного дома машиноместами в количестве 235 штук предусмотрено частично в границах земельного участка на котором непосредственно запроектирован многоквартирный дом, и частично в пределах близлежащей территории в соответствии с Проектом планировки территории, утвержденным постановлением мэрии городского округа Тольятти от от 08.08.2014г. № 2883-п/1, следующим образом:</w:t>
      </w:r>
    </w:p>
    <w:p>
      <w:pPr>
        <w:pStyle w:val="Western"/>
        <w:spacing w:beforeAutospacing="0" w:before="0" w:after="0"/>
        <w:ind w:right="-1" w:firstLine="709"/>
        <w:jc w:val="both"/>
        <w:rPr>
          <w:rFonts w:ascii="Times New Roman" w:hAnsi="Times New Roman" w:cs="Times New Roman"/>
          <w:color w:val="000000"/>
        </w:rPr>
      </w:pPr>
      <w:r>
        <w:rPr>
          <w:rFonts w:cs="Times New Roman" w:ascii="Times New Roman" w:hAnsi="Times New Roman"/>
          <w:color w:val="000000"/>
        </w:rPr>
        <w:t>1. В границах земельного участка непосредственно занятого многоквартирным домом предусмотрено размещение машиномест в количестве 90 шт., 9 из них (не менее 10%) предназначено для малоподвижных групп населения. План размещения машиномест приведен в Схеме планировочной организации земельного участка.</w:t>
      </w:r>
    </w:p>
    <w:p>
      <w:pPr>
        <w:pStyle w:val="Western"/>
        <w:spacing w:beforeAutospacing="0" w:before="0" w:after="0"/>
        <w:ind w:right="-1" w:firstLine="709"/>
        <w:jc w:val="both"/>
        <w:rPr>
          <w:rFonts w:ascii="Times New Roman" w:hAnsi="Times New Roman" w:cs="Times New Roman"/>
          <w:color w:val="000000"/>
        </w:rPr>
      </w:pPr>
      <w:r>
        <w:rPr>
          <w:rFonts w:cs="Times New Roman" w:ascii="Times New Roman" w:hAnsi="Times New Roman"/>
          <w:color w:val="000000"/>
        </w:rPr>
        <w:t>2. В пределах близлежащей территории, в пределах пешеходной доступности не более 800 м, предусмотрено 145  машиномест. Размещение машиномест предусмотрено документацией по планировке застроенной территории с проектом межевания, ограниченной улицами: Революционной, Дзержинского, Юбилейной, Спортивной. (утв.: постановлением мэрии г.о. Тольятти от 08.08.2014г. № 2883-п/1).</w:t>
      </w:r>
    </w:p>
    <w:p>
      <w:pPr>
        <w:pStyle w:val="Western"/>
        <w:spacing w:beforeAutospacing="0" w:before="0" w:after="0"/>
        <w:ind w:right="-1" w:firstLine="709"/>
        <w:jc w:val="both"/>
        <w:rPr>
          <w:rFonts w:ascii="Times New Roman" w:hAnsi="Times New Roman" w:cs="Times New Roman"/>
        </w:rPr>
      </w:pPr>
      <w:r>
        <w:rPr>
          <w:rFonts w:cs="Times New Roman" w:ascii="Times New Roman" w:hAnsi="Times New Roman"/>
          <w:color w:val="000000"/>
        </w:rPr>
        <w:t xml:space="preserve"> </w:t>
      </w:r>
      <w:r>
        <w:rPr>
          <w:rFonts w:cs="Times New Roman" w:ascii="Times New Roman" w:hAnsi="Times New Roman"/>
          <w:color w:val="000000"/>
        </w:rPr>
        <w:t>Стоянка автомобилей для жителей дома предусмотрена восточнее территории дома поз2. Предоставляется гарантийное письмо ОАО Приморское на аренду земли под стоянку на 370 мест, из них 37 мест ( не менее 10%) для МГН.</w:t>
      </w:r>
      <w:r>
        <w:rPr>
          <w:rFonts w:cs="Times New Roman" w:ascii="Times New Roman" w:hAnsi="Times New Roman"/>
        </w:rPr>
        <w:t xml:space="preserve">3. </w:t>
      </w:r>
    </w:p>
    <w:p>
      <w:pPr>
        <w:pStyle w:val="Style49"/>
        <w:ind w:left="0" w:firstLine="720"/>
        <w:rPr/>
      </w:pPr>
      <w:r>
        <w:rPr/>
      </w:r>
    </w:p>
    <w:p>
      <w:pPr>
        <w:pStyle w:val="Style49"/>
        <w:ind w:left="0" w:firstLine="720"/>
        <w:rPr/>
      </w:pPr>
      <w:r>
        <w:rPr/>
        <w:t>Доступ МГН в жилой дом</w:t>
      </w:r>
    </w:p>
    <w:p>
      <w:pPr>
        <w:pStyle w:val="Textbody"/>
        <w:spacing w:before="0" w:after="0"/>
        <w:ind w:left="0" w:right="-1" w:firstLine="709"/>
        <w:jc w:val="both"/>
        <w:rPr>
          <w:rFonts w:ascii="Times New Roman" w:hAnsi="Times New Roman" w:cs="Times New Roman"/>
          <w:b/>
          <w:b/>
          <w:bCs/>
          <w:u w:val="single"/>
        </w:rPr>
      </w:pPr>
      <w:r>
        <w:rPr>
          <w:rFonts w:cs="Times New Roman" w:ascii="Times New Roman" w:hAnsi="Times New Roman"/>
          <w:b/>
          <w:bCs/>
          <w:u w:val="single"/>
        </w:rPr>
        <w:t>Жилые секции с 1 по 5</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Доступ МГН в жилой дом обеспечивается по наружному пандусу в соответствии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с заданием только на 1 этаж, поднятие на отметку первого этажа лифтом грузоподъемностью 1000кг, скорость лифта </w:t>
      </w:r>
      <w:r>
        <w:rPr>
          <w:rFonts w:cs="Times New Roman" w:ascii="Times New Roman" w:hAnsi="Times New Roman"/>
          <w:lang w:val="en-US"/>
        </w:rPr>
        <w:t>V</w:t>
      </w:r>
      <w:r>
        <w:rPr>
          <w:rFonts w:cs="Times New Roman" w:ascii="Times New Roman" w:hAnsi="Times New Roman"/>
        </w:rPr>
        <w:t>=1м/сек.</w:t>
      </w:r>
    </w:p>
    <w:p>
      <w:pPr>
        <w:pStyle w:val="Textbody"/>
        <w:spacing w:before="0" w:after="0"/>
        <w:ind w:left="0" w:right="-1" w:firstLine="709"/>
        <w:jc w:val="both"/>
        <w:rPr>
          <w:rFonts w:ascii="Times New Roman" w:hAnsi="Times New Roman" w:cs="Times New Roman"/>
        </w:rPr>
      </w:pPr>
      <w:r>
        <w:rPr>
          <w:rFonts w:cs="Times New Roman" w:ascii="Times New Roman" w:hAnsi="Times New Roman"/>
          <w:b/>
          <w:bCs/>
          <w:u w:val="single"/>
        </w:rPr>
        <w:t>Жилые секции 6 и 7:</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Доступ МГН в жилой дом обеспечивается по наружному пандусу, поднятие на отметку 1-го этажа подъёмной платформой БК-320.</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По техническому заданию доступ МГН в секции с 1 по 7 обеспечивается только на 1 этаж  </w:t>
      </w:r>
    </w:p>
    <w:p>
      <w:pPr>
        <w:pStyle w:val="Textbody"/>
        <w:spacing w:before="0" w:after="0"/>
        <w:ind w:left="0" w:right="-1" w:firstLine="709"/>
        <w:jc w:val="both"/>
        <w:rPr>
          <w:rFonts w:ascii="Times New Roman" w:hAnsi="Times New Roman" w:cs="Times New Roman"/>
        </w:rPr>
      </w:pPr>
      <w:r>
        <w:rPr>
          <w:rFonts w:cs="Times New Roman" w:ascii="Times New Roman" w:hAnsi="Times New Roman"/>
          <w:b/>
          <w:bCs/>
          <w:u w:val="single"/>
        </w:rPr>
        <w:t>Жилая  секция  8:</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Доступ МГН на первый жилой этаж здания (второй этаж здания) обеспечивается по наружному пандусу с уровня земли на отметку первого этажа с поднятием на первый жилой этаж здания — грузопассажирским лифтом г/п 630 кг, предназначенным  для перевозки пожарных  подразделений и эвакуации МГН из зоны безопасности. Скорость подъема  лифтов - 1,0 м/сек.</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Доступ МГН на первый этаж в офисные помещения обеспечивается подъёмниками.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b/>
          <w:bCs/>
          <w:u w:val="single"/>
        </w:rPr>
        <w:t>Нежилые помещения (офисы)</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Доступ  обеспечивается по наружному пандусу. Для доступа на 2 и 3 этажи предусмотрен лифт  г/п 630 кг  для транспортирования МГН.</w:t>
      </w:r>
    </w:p>
    <w:p>
      <w:pPr>
        <w:pStyle w:val="Textbody"/>
        <w:spacing w:before="0" w:after="0"/>
        <w:ind w:left="0" w:right="-1" w:firstLine="709"/>
        <w:jc w:val="both"/>
        <w:rPr>
          <w:rFonts w:ascii="Times New Roman" w:hAnsi="Times New Roman" w:eastAsia="ArialMT" w:cs="Times New Roman"/>
          <w:b/>
          <w:b/>
          <w:bCs/>
          <w:u w:val="single"/>
        </w:rPr>
      </w:pPr>
      <w:r>
        <w:rPr>
          <w:rFonts w:eastAsia="ArialMT" w:cs="Times New Roman" w:ascii="Times New Roman" w:hAnsi="Times New Roman"/>
          <w:b/>
          <w:bCs/>
          <w:u w:val="single"/>
        </w:rPr>
        <w:t>Описание решений</w:t>
      </w:r>
    </w:p>
    <w:p>
      <w:pPr>
        <w:pStyle w:val="Textbody"/>
        <w:spacing w:before="0" w:after="0"/>
        <w:ind w:left="0" w:right="-1" w:firstLine="709"/>
        <w:jc w:val="both"/>
        <w:rPr>
          <w:rFonts w:ascii="Times New Roman" w:hAnsi="Times New Roman" w:cs="Times New Roman"/>
        </w:rPr>
      </w:pPr>
      <w:r>
        <w:rPr>
          <w:rFonts w:eastAsia="ArialMT" w:cs="Times New Roman" w:ascii="Times New Roman" w:hAnsi="Times New Roman"/>
          <w:b/>
          <w:bCs/>
        </w:rPr>
        <w:t>Наружный пандус</w:t>
      </w:r>
      <w:r>
        <w:rPr>
          <w:rFonts w:eastAsia="ArialMT" w:cs="Times New Roman" w:ascii="Times New Roman" w:hAnsi="Times New Roman"/>
        </w:rPr>
        <w:t xml:space="preserve"> выполнен стационарным из бетона и имеет уклон 1:10 в продольном направлении (перепад высот пола на путях движения менее 0,2м), нескользящее покрытие с ограждающими бортиками высотой не менее 50мм. Ширина проезда пандуса -1.0м.</w:t>
      </w:r>
    </w:p>
    <w:p>
      <w:pPr>
        <w:pStyle w:val="Textbody"/>
        <w:spacing w:before="0" w:after="0"/>
        <w:ind w:left="0" w:right="-1" w:firstLine="709"/>
        <w:jc w:val="both"/>
        <w:rPr>
          <w:rFonts w:ascii="Times New Roman" w:hAnsi="Times New Roman" w:cs="Times New Roman"/>
        </w:rPr>
      </w:pPr>
      <w:r>
        <w:rPr>
          <w:rFonts w:eastAsia="ArialMT" w:cs="Times New Roman" w:ascii="Times New Roman" w:hAnsi="Times New Roman"/>
          <w:b/>
          <w:bCs/>
        </w:rPr>
        <w:t>Входная площадка</w:t>
      </w:r>
      <w:r>
        <w:rPr>
          <w:rFonts w:eastAsia="ArialMT" w:cs="Times New Roman" w:ascii="Times New Roman" w:hAnsi="Times New Roman"/>
        </w:rPr>
        <w:t xml:space="preserve"> при входе, доступном МГН, имеет навес и отвод воды по уклону пола от входной двери 1.5 %.</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Размер входной площадки не менее 2.2х2.2 м.</w:t>
      </w:r>
    </w:p>
    <w:p>
      <w:pPr>
        <w:pStyle w:val="Textbody"/>
        <w:spacing w:before="0" w:after="0"/>
        <w:ind w:left="0" w:right="-1" w:firstLine="709"/>
        <w:jc w:val="both"/>
        <w:rPr>
          <w:rFonts w:ascii="Times New Roman" w:hAnsi="Times New Roman" w:cs="Times New Roman"/>
        </w:rPr>
      </w:pPr>
      <w:r>
        <w:rPr>
          <w:rFonts w:eastAsia="ArialMT" w:cs="Times New Roman" w:ascii="Times New Roman" w:hAnsi="Times New Roman"/>
        </w:rPr>
        <w:t>Входная площадка имеет нескользящее твердое покрытие и ограждающие бортики высотой не менее 50мм.</w:t>
      </w:r>
    </w:p>
    <w:p>
      <w:pPr>
        <w:pStyle w:val="Textbody"/>
        <w:spacing w:before="0" w:after="0"/>
        <w:ind w:left="0" w:right="-1" w:firstLine="709"/>
        <w:jc w:val="both"/>
        <w:rPr>
          <w:rFonts w:ascii="Times New Roman" w:hAnsi="Times New Roman" w:cs="Times New Roman"/>
        </w:rPr>
      </w:pPr>
      <w:r>
        <w:rPr>
          <w:rFonts w:eastAsia="ArialMT" w:cs="Times New Roman" w:ascii="Times New Roman" w:hAnsi="Times New Roman"/>
          <w:b/>
          <w:bCs/>
        </w:rPr>
        <w:t>Входные двери</w:t>
      </w:r>
      <w:r>
        <w:rPr>
          <w:rFonts w:eastAsia="ArialMT" w:cs="Times New Roman" w:ascii="Times New Roman" w:hAnsi="Times New Roman"/>
        </w:rPr>
        <w:t xml:space="preserve"> входа в жилой дом, доступные МГН, распашные, двупольные с ручным открыванием размером 1.5х2.1м.</w:t>
      </w:r>
    </w:p>
    <w:p>
      <w:pPr>
        <w:pStyle w:val="Textbody"/>
        <w:spacing w:before="0" w:after="0"/>
        <w:ind w:left="0" w:right="-1" w:firstLine="709"/>
        <w:jc w:val="both"/>
        <w:rPr>
          <w:rFonts w:ascii="Times New Roman" w:hAnsi="Times New Roman" w:cs="Times New Roman"/>
        </w:rPr>
      </w:pPr>
      <w:r>
        <w:rPr>
          <w:rFonts w:eastAsia="ArialMT" w:cs="Times New Roman" w:ascii="Times New Roman" w:hAnsi="Times New Roman"/>
        </w:rPr>
        <w:t>Полотна дверей оснащены смотровыми панелями с заполнением ударопрочным стеклом на уровне 0,9м от уровня пола. Нижняя часть дверных полотен на высоте 0,3м защищена противоударной полосой.</w:t>
      </w:r>
    </w:p>
    <w:p>
      <w:pPr>
        <w:pStyle w:val="Textbody"/>
        <w:spacing w:before="0" w:after="0"/>
        <w:ind w:left="0" w:right="-1" w:firstLine="709"/>
        <w:jc w:val="both"/>
        <w:rPr>
          <w:rFonts w:ascii="Times New Roman" w:hAnsi="Times New Roman" w:cs="Times New Roman"/>
        </w:rPr>
      </w:pPr>
      <w:r>
        <w:rPr>
          <w:rFonts w:eastAsia="ArialMT" w:cs="Times New Roman" w:ascii="Times New Roman" w:hAnsi="Times New Roman"/>
        </w:rPr>
        <w:t>Входные двери имеют пороги, общая высота порога равна 0,02м, при этом высота каждого элемента порога не превышает 0,014м.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 </w:t>
      </w:r>
      <w:r>
        <w:rPr>
          <w:rFonts w:cs="Times New Roman" w:ascii="Times New Roman" w:hAnsi="Times New Roman"/>
        </w:rPr>
        <w:t>В качестве дверных запоров предусмотрены ручки нажимного действия. Усилие открывания двери не превышает 50 Нм. Ручки открывания дверей расположены на высоте 0,9м от уровня пола.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Края дверного полотна и ручки окрашиваются в отличные от дверного полотна контрастные цвета. На дверном полотне наносится символ МГН.</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Двери оборудованы доводчиками, обеспечивающими задержку автоматического закрывания дверей продолжительностью не менее 5сек. и домофоном, расположенном на высоте 0,9м от уровня пола площадки.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Наружная входная дверь оборудована домофоном, расположенным на высоте 0,9м от уровня пола.</w:t>
      </w:r>
    </w:p>
    <w:p>
      <w:pPr>
        <w:pStyle w:val="Textbody"/>
        <w:spacing w:before="0" w:after="0"/>
        <w:ind w:left="0" w:right="-1" w:firstLine="709"/>
        <w:jc w:val="both"/>
        <w:rPr>
          <w:rFonts w:ascii="Times New Roman" w:hAnsi="Times New Roman" w:cs="Times New Roman"/>
        </w:rPr>
      </w:pPr>
      <w:r>
        <w:rPr>
          <w:rFonts w:eastAsia="ArialMT" w:cs="Times New Roman" w:ascii="Times New Roman" w:hAnsi="Times New Roman"/>
          <w:b/>
          <w:bCs/>
        </w:rPr>
        <w:t>Тамбур входа</w:t>
      </w:r>
      <w:r>
        <w:rPr>
          <w:rFonts w:eastAsia="ArialMT" w:cs="Times New Roman" w:ascii="Times New Roman" w:hAnsi="Times New Roman"/>
        </w:rPr>
        <w:t xml:space="preserve"> для МГН имеет глубину 2,3м при ширине не менее 1,5м. </w:t>
      </w:r>
      <w:r>
        <w:rPr>
          <w:rFonts w:cs="Times New Roman" w:ascii="Times New Roman" w:hAnsi="Times New Roman"/>
        </w:rPr>
        <w:t>Полы тамбура выполнены с нескользящим покрытием и не имеют перепадов по высоте.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Ширина пути движения во внеквартирных коридорах при движении кресла-коляски в одном направлении составляет более 1.5м при высоте не менее 2.1м.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Участки пола на путях движения на расстоянии 0,6м перед дверными проемами и входами в лестнично-лифтовой блок, а также перед поворотом коммуникационных путей имеют предупредительную контрастно-окрашенную поверхность.</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Ширина дверных проемов — не менее 0.9м.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Все двери здания на путях движения МГН – распашные. Навеска дверных полотен осуществляется на петлях одностороннего действия с фиксаторами в положениях «открыто» и «закрыто».</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Двери на путях эвакуации имеют окраску, контрастную со стеной.</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Дверные проемы в помещениях не имеют порогов и перепадов высот пола.</w:t>
      </w:r>
    </w:p>
    <w:p>
      <w:pPr>
        <w:pStyle w:val="Textbody"/>
        <w:spacing w:before="0" w:after="0"/>
        <w:ind w:left="0" w:right="-1" w:firstLine="709"/>
        <w:jc w:val="both"/>
        <w:rPr>
          <w:rFonts w:ascii="Times New Roman" w:hAnsi="Times New Roman" w:cs="Times New Roman"/>
        </w:rPr>
      </w:pPr>
      <w:r>
        <w:rPr>
          <w:rFonts w:cs="Times New Roman" w:ascii="Times New Roman" w:hAnsi="Times New Roman"/>
          <w:b/>
          <w:bCs/>
        </w:rPr>
        <w:t>Лестничная клетка</w:t>
      </w:r>
      <w:r>
        <w:rPr>
          <w:rFonts w:cs="Times New Roman" w:ascii="Times New Roman" w:hAnsi="Times New Roman"/>
        </w:rPr>
        <w:t xml:space="preserve"> — тип Л1 (для секций с 1 по 7 и нежилых помещений свободной планировки), лестничная клетка типа Н2 — для 8 секции.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Ширина марша лестничной клетки составляет более 1.05м.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Ступени лестницы ровные, без выступов и с шероховатой поверхностью. Ребро ступени выполняется с закруглением радиусом не более 0,05м. Ступени имеют замкнутый подступенок.</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Боковые края ступеней, не примыкающие к стенам, имеют бортики высотой не менее 0,02м.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Материал ступеней лестничных маршей и площадок перед ними различается по цвету.</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Тактильные напольные указатели перед лестницами выполняются по ГОСТ Р 52875.</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r>
    </w:p>
    <w:p>
      <w:pPr>
        <w:pStyle w:val="Textbody"/>
        <w:spacing w:before="0" w:after="0"/>
        <w:ind w:left="0" w:right="-1" w:firstLine="709"/>
        <w:jc w:val="both"/>
        <w:rPr>
          <w:rFonts w:ascii="Times New Roman" w:hAnsi="Times New Roman" w:cs="Times New Roman"/>
        </w:rPr>
      </w:pPr>
      <w:r>
        <w:rPr>
          <w:rFonts w:cs="Times New Roman" w:ascii="Times New Roman" w:hAnsi="Times New Roman"/>
          <w:b/>
          <w:bCs/>
        </w:rPr>
        <w:t>Эвакуация МГН</w:t>
      </w:r>
    </w:p>
    <w:p>
      <w:pPr>
        <w:pStyle w:val="Standard"/>
        <w:spacing w:lineRule="auto" w:line="240"/>
        <w:ind w:right="-1" w:firstLine="720"/>
        <w:rPr>
          <w:rFonts w:ascii="Times New Roman" w:hAnsi="Times New Roman"/>
          <w:sz w:val="24"/>
          <w:szCs w:val="24"/>
        </w:rPr>
      </w:pPr>
      <w:r>
        <w:rPr>
          <w:rFonts w:ascii="Times New Roman" w:hAnsi="Times New Roman"/>
          <w:b/>
          <w:bCs/>
          <w:sz w:val="24"/>
          <w:szCs w:val="24"/>
        </w:rPr>
        <w:t xml:space="preserve"> </w:t>
      </w:r>
      <w:r>
        <w:rPr>
          <w:rFonts w:ascii="Times New Roman" w:hAnsi="Times New Roman"/>
          <w:b/>
          <w:bCs/>
          <w:sz w:val="24"/>
          <w:szCs w:val="24"/>
          <w:u w:val="single"/>
        </w:rPr>
        <w:t>Жилые секции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Эвакуация МГН с первого этажа предусмотрена по внеквартирным коридорам в лестнично-лифтовой блок, ведущий непосредственно наружу — для секций с 1 по 7. Со всех этажей, выше второго — по  внеквартирным коридорам в  лестнично-лифтовой блок, ведущий непосредственно наружу — для секции 8</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Секция 8 - для эвакуации МГН используется лифт г/п 630 кг, предназначенный для транспортирования пожарных подразделений, а также лестничная клетка.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Ширина пути эвакуации (внеквартирные коридоры) при движении кресла-коляски в одном направлении составляет более1.5м при высоте не менее 2.1м.</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Эвакуация из офисных помещений — по коридорам непосредственно наружу.</w:t>
      </w:r>
    </w:p>
    <w:p>
      <w:pPr>
        <w:pStyle w:val="Textbody"/>
        <w:spacing w:before="0" w:after="0"/>
        <w:ind w:left="0" w:right="-1" w:firstLine="709"/>
        <w:jc w:val="both"/>
        <w:rPr>
          <w:rFonts w:ascii="Times New Roman" w:hAnsi="Times New Roman" w:cs="Times New Roman"/>
          <w:b/>
          <w:b/>
          <w:bCs/>
          <w:u w:val="single"/>
        </w:rPr>
      </w:pPr>
      <w:r>
        <w:rPr>
          <w:rFonts w:cs="Times New Roman" w:ascii="Times New Roman" w:hAnsi="Times New Roman"/>
          <w:b/>
          <w:bCs/>
          <w:u w:val="single"/>
        </w:rPr>
        <w:t>Нежилые помещения (офисы)</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Для эвакуации МГН используется лифт г/п 630 кг, предназначенный для транспортирования пожарных подразделений, а также лестничная клетка.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 xml:space="preserve">Конструкции эвакуационных путей выполнены класса К1 (малопожароопасные), предел огнестойкости составляет </w:t>
      </w:r>
      <w:r>
        <w:rPr>
          <w:rFonts w:cs="Times New Roman" w:ascii="Times New Roman" w:hAnsi="Times New Roman"/>
          <w:lang w:val="en-US"/>
        </w:rPr>
        <w:t>REI</w:t>
      </w:r>
      <w:r>
        <w:rPr>
          <w:rFonts w:cs="Times New Roman" w:ascii="Times New Roman" w:hAnsi="Times New Roman"/>
        </w:rPr>
        <w:t xml:space="preserve"> 90.</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На путях эвакуации (лестнично-лифтовой блок и общие коридоры) отделка стен, полов и потолков соответствует классу пожарной опасности строительных материалов КМ2 (слабогорючие).</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Все двери здания на путях движения МГН – распашные с открыванием по пути эвакуации.</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Участки пола на путях движения на расстоянии 0,6м перед дверными проемами и входами на пути эвакуации, а также перед поворотом коммуникационных путей имеют предупредительную контрастно-окрашенную поверхность.</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t>Освещение лифтового холла и лестничной клетки — естественное, через окна.</w:t>
      </w:r>
    </w:p>
    <w:p>
      <w:pPr>
        <w:pStyle w:val="Textbody"/>
        <w:spacing w:before="0" w:after="0"/>
        <w:ind w:left="0" w:right="-1" w:firstLine="709"/>
        <w:jc w:val="both"/>
        <w:rPr>
          <w:rFonts w:ascii="Times New Roman" w:hAnsi="Times New Roman" w:cs="Times New Roman"/>
        </w:rPr>
      </w:pPr>
      <w:r>
        <w:rPr>
          <w:rFonts w:cs="Times New Roman" w:ascii="Times New Roman" w:hAnsi="Times New Roman"/>
        </w:rPr>
      </w:r>
    </w:p>
    <w:p>
      <w:pPr>
        <w:pStyle w:val="Normal"/>
        <w:widowControl/>
        <w:ind w:right="-1" w:firstLine="709"/>
        <w:rPr>
          <w:rFonts w:eastAsia="Times New Roman"/>
          <w:b/>
          <w:b/>
          <w:color w:val="000000" w:themeColor="text1"/>
          <w:highlight w:val="yellow"/>
        </w:rPr>
      </w:pPr>
      <w:r>
        <w:rPr>
          <w:rFonts w:eastAsia="Times New Roman"/>
          <w:b/>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3.2.9. Мероприятия по обеспечению соблюдения требований энергетической эффективности и требований оснащенности зданий, строений и сооружений приборами учета используемых энергетических ресурсов</w:t>
      </w:r>
    </w:p>
    <w:p>
      <w:pPr>
        <w:pStyle w:val="Normal"/>
        <w:widowControl/>
        <w:ind w:right="-1" w:firstLine="709"/>
        <w:rPr>
          <w:rFonts w:eastAsia="Times New Roman"/>
          <w:b/>
          <w:b/>
          <w:iCs/>
          <w:color w:val="000000" w:themeColor="text1"/>
          <w:highlight w:val="yellow"/>
        </w:rPr>
      </w:pPr>
      <w:r>
        <w:rPr>
          <w:rFonts w:eastAsia="Times New Roman"/>
          <w:b/>
          <w:iCs/>
          <w:color w:val="000000" w:themeColor="text1"/>
          <w:highlight w:val="yellow"/>
        </w:rPr>
      </w:r>
    </w:p>
    <w:p>
      <w:pPr>
        <w:pStyle w:val="Normal"/>
        <w:ind w:right="-1" w:firstLine="709"/>
        <w:rPr>
          <w:b/>
          <w:b/>
          <w:i/>
          <w:i/>
          <w:iCs/>
          <w:spacing w:val="-2"/>
        </w:rPr>
      </w:pPr>
      <w:r>
        <w:rPr>
          <w:b/>
          <w:i/>
          <w:iCs/>
          <w:spacing w:val="-2"/>
        </w:rPr>
        <w:t>Расчетные условия:</w:t>
      </w:r>
    </w:p>
    <w:p>
      <w:pPr>
        <w:pStyle w:val="Normal"/>
        <w:ind w:right="-1" w:firstLine="709"/>
        <w:rPr>
          <w:iCs/>
          <w:spacing w:val="-2"/>
        </w:rPr>
      </w:pPr>
      <w:r>
        <w:rPr>
          <w:iCs/>
          <w:spacing w:val="-2"/>
        </w:rPr>
        <w:t xml:space="preserve">Расчетная температура внутреннего воздуха </w:t>
        <w:tab/>
        <w:t>- +20</w:t>
      </w:r>
      <w:r>
        <w:rPr>
          <w:rFonts w:eastAsia="Symbol" w:cs="Symbol" w:ascii="Symbol" w:hAnsi="Symbol"/>
          <w:iCs/>
          <w:spacing w:val="-2"/>
        </w:rPr>
        <w:t></w:t>
      </w:r>
      <w:r>
        <w:rPr>
          <w:iCs/>
          <w:spacing w:val="-2"/>
        </w:rPr>
        <w:t>С;</w:t>
      </w:r>
    </w:p>
    <w:p>
      <w:pPr>
        <w:pStyle w:val="Normal"/>
        <w:ind w:right="-1" w:firstLine="709"/>
        <w:rPr>
          <w:iCs/>
          <w:spacing w:val="-2"/>
        </w:rPr>
      </w:pPr>
      <w:r>
        <w:rPr>
          <w:iCs/>
          <w:spacing w:val="-2"/>
        </w:rPr>
        <w:t xml:space="preserve">Расчетная температура наружного воздуха </w:t>
        <w:tab/>
        <w:t>- -30</w:t>
      </w:r>
      <w:r>
        <w:rPr>
          <w:rFonts w:eastAsia="Symbol" w:cs="Symbol" w:ascii="Symbol" w:hAnsi="Symbol"/>
          <w:iCs/>
          <w:spacing w:val="-2"/>
        </w:rPr>
        <w:t></w:t>
      </w:r>
      <w:r>
        <w:rPr>
          <w:iCs/>
          <w:spacing w:val="-2"/>
        </w:rPr>
        <w:t>С;</w:t>
      </w:r>
    </w:p>
    <w:p>
      <w:pPr>
        <w:pStyle w:val="Normal"/>
        <w:ind w:right="-1" w:firstLine="709"/>
        <w:rPr>
          <w:iCs/>
          <w:spacing w:val="-2"/>
        </w:rPr>
      </w:pPr>
      <w:r>
        <w:rPr>
          <w:iCs/>
          <w:spacing w:val="-2"/>
        </w:rPr>
        <w:t xml:space="preserve">Продолжительность отопительного периода </w:t>
        <w:tab/>
        <w:t>- 203 сут.;</w:t>
      </w:r>
    </w:p>
    <w:p>
      <w:pPr>
        <w:pStyle w:val="Normal"/>
        <w:ind w:right="-1" w:firstLine="709"/>
        <w:rPr>
          <w:iCs/>
          <w:spacing w:val="-2"/>
        </w:rPr>
      </w:pPr>
      <w:r>
        <w:rPr>
          <w:iCs/>
          <w:spacing w:val="-2"/>
        </w:rPr>
        <w:t>Средняя температура наружного воздуха</w:t>
      </w:r>
    </w:p>
    <w:p>
      <w:pPr>
        <w:pStyle w:val="Normal"/>
        <w:ind w:right="-1" w:firstLine="709"/>
        <w:rPr>
          <w:iCs/>
          <w:spacing w:val="-2"/>
        </w:rPr>
      </w:pPr>
      <w:r>
        <w:rPr>
          <w:iCs/>
          <w:spacing w:val="-2"/>
        </w:rPr>
        <w:t>за отопительный период</w:t>
        <w:tab/>
        <w:tab/>
        <w:tab/>
        <w:tab/>
        <w:t>- -5,2</w:t>
      </w:r>
      <w:r>
        <w:rPr>
          <w:rFonts w:eastAsia="Symbol" w:cs="Symbol" w:ascii="Symbol" w:hAnsi="Symbol"/>
          <w:iCs/>
          <w:spacing w:val="-2"/>
        </w:rPr>
        <w:t></w:t>
      </w:r>
      <w:r>
        <w:rPr>
          <w:iCs/>
          <w:spacing w:val="-2"/>
        </w:rPr>
        <w:t>С;</w:t>
      </w:r>
    </w:p>
    <w:p>
      <w:pPr>
        <w:pStyle w:val="Normal"/>
        <w:ind w:right="-1" w:firstLine="709"/>
        <w:rPr>
          <w:iCs/>
          <w:spacing w:val="-2"/>
        </w:rPr>
      </w:pPr>
      <w:r>
        <w:rPr>
          <w:iCs/>
          <w:spacing w:val="-2"/>
        </w:rPr>
        <w:t>Градусо-сутки отопительного периода</w:t>
        <w:tab/>
        <w:tab/>
        <w:t>- 5116</w:t>
      </w:r>
      <w:r>
        <w:rPr>
          <w:rFonts w:eastAsia="Symbol" w:cs="Symbol" w:ascii="Symbol" w:hAnsi="Symbol"/>
          <w:iCs/>
          <w:spacing w:val="-2"/>
        </w:rPr>
        <w:t></w:t>
      </w:r>
      <w:r>
        <w:rPr>
          <w:iCs/>
          <w:spacing w:val="-2"/>
        </w:rPr>
        <w:t>С·сут.;</w:t>
      </w:r>
    </w:p>
    <w:p>
      <w:pPr>
        <w:pStyle w:val="Normal"/>
        <w:ind w:right="-1" w:firstLine="709"/>
        <w:rPr>
          <w:iCs/>
          <w:spacing w:val="-2"/>
        </w:rPr>
      </w:pPr>
      <w:r>
        <w:rPr>
          <w:iCs/>
          <w:spacing w:val="-2"/>
        </w:rPr>
        <w:t>Расчетная  температура воздуха в техподполье и теплом чердаке принята на основе расчета теплового баланса, что допускается п.5.2 СП50.13330.2012.</w:t>
      </w:r>
    </w:p>
    <w:p>
      <w:pPr>
        <w:pStyle w:val="Normal"/>
        <w:ind w:right="-1" w:firstLine="709"/>
        <w:rPr>
          <w:iCs/>
          <w:spacing w:val="-2"/>
        </w:rPr>
      </w:pPr>
      <w:r>
        <w:rPr>
          <w:iCs/>
          <w:spacing w:val="-2"/>
        </w:rPr>
        <w:t xml:space="preserve">Приведенное сопротивление теплопередаче отдельных элементов ограждающих конструкций здания не менее нормируемых значений. Температурный перепад между температурами внутреннего воздуха и на поверхности ограждающих конструкций и температуру на внутренней поверхности выше температуры точки росы. </w:t>
      </w:r>
    </w:p>
    <w:p>
      <w:pPr>
        <w:pStyle w:val="Normal"/>
        <w:ind w:right="-1" w:firstLine="709"/>
        <w:rPr>
          <w:iCs/>
          <w:spacing w:val="-2"/>
        </w:rPr>
      </w:pPr>
      <w:r>
        <w:rPr>
          <w:iCs/>
          <w:spacing w:val="-2"/>
        </w:rPr>
        <w:t>Наружные ограждающие конструкции удовлетворяют комплексному показателю тепловой защиты - удельная теплозащитная характеристика зданий</w:t>
      </w:r>
      <w:r>
        <w:rPr>
          <w:rFonts w:eastAsia="Times New Roman"/>
          <w:sz w:val="28"/>
          <w:szCs w:val="28"/>
        </w:rPr>
        <w:t xml:space="preserve"> </w:t>
      </w:r>
      <w:r>
        <w:rPr>
          <w:iCs/>
          <w:spacing w:val="-2"/>
        </w:rPr>
        <w:t>не более нормируемого значения.</w:t>
      </w:r>
    </w:p>
    <w:p>
      <w:pPr>
        <w:pStyle w:val="Normal"/>
        <w:ind w:right="-1" w:firstLine="709"/>
        <w:rPr>
          <w:b/>
          <w:b/>
          <w:i/>
          <w:i/>
          <w:spacing w:val="-2"/>
        </w:rPr>
      </w:pPr>
      <w:r>
        <w:rPr>
          <w:b/>
          <w:i/>
          <w:spacing w:val="-2"/>
        </w:rPr>
      </w:r>
    </w:p>
    <w:p>
      <w:pPr>
        <w:pStyle w:val="Normal"/>
        <w:ind w:right="-1" w:firstLine="709"/>
        <w:rPr>
          <w:b/>
          <w:b/>
          <w:i/>
          <w:i/>
          <w:spacing w:val="-2"/>
        </w:rPr>
      </w:pPr>
      <w:r>
        <w:rPr>
          <w:b/>
          <w:i/>
          <w:spacing w:val="-2"/>
        </w:rPr>
        <w:t>1 этап строительства (секции 1, 2, 3, 4, 5):</w:t>
      </w:r>
    </w:p>
    <w:p>
      <w:pPr>
        <w:pStyle w:val="Normal"/>
        <w:ind w:right="-1" w:firstLine="709"/>
        <w:rPr>
          <w:b/>
          <w:b/>
          <w:i/>
          <w:i/>
          <w:spacing w:val="-2"/>
        </w:rPr>
      </w:pPr>
      <w:r>
        <w:rPr>
          <w:b/>
          <w:i/>
          <w:spacing w:val="-2"/>
        </w:rPr>
      </w:r>
    </w:p>
    <w:p>
      <w:pPr>
        <w:pStyle w:val="Normal"/>
        <w:ind w:right="-1" w:firstLine="709"/>
        <w:rPr>
          <w:b/>
          <w:b/>
          <w:i/>
          <w:i/>
          <w:spacing w:val="-2"/>
        </w:rPr>
      </w:pPr>
      <w:r>
        <w:rPr>
          <w:b/>
          <w:i/>
          <w:spacing w:val="-2"/>
        </w:rPr>
        <w:t>Приведенное сопротивление теплопередаче наружных ограждений:</w:t>
        <w:tab/>
      </w:r>
    </w:p>
    <w:p>
      <w:pPr>
        <w:pStyle w:val="Normal"/>
        <w:ind w:right="-1" w:firstLine="709"/>
        <w:rPr>
          <w:spacing w:val="-2"/>
        </w:rPr>
      </w:pPr>
      <w:r>
        <w:rPr>
          <w:spacing w:val="-2"/>
        </w:rPr>
        <w:t>- стен – 3,84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=3,19 (м</w:t>
      </w:r>
      <w:r>
        <w:rPr>
          <w:spacing w:val="-2"/>
          <w:vertAlign w:val="superscript"/>
        </w:rPr>
        <w:t>2</w:t>
      </w:r>
      <w:r>
        <w:rPr>
          <w:spacing w:val="-2"/>
        </w:rPr>
        <w:t>·</w:t>
      </w:r>
      <w:r>
        <w:rPr>
          <w:rFonts w:eastAsia="Symbol" w:cs="Symbol" w:ascii="Symbol" w:hAnsi="Symbol"/>
          <w:spacing w:val="-2"/>
        </w:rPr>
        <w:t>°</w:t>
      </w:r>
      <w:r>
        <w:rPr>
          <w:spacing w:val="-2"/>
        </w:rPr>
        <w:t xml:space="preserve">С)/Вт </w:t>
      </w:r>
    </w:p>
    <w:p>
      <w:pPr>
        <w:pStyle w:val="Normal"/>
        <w:ind w:right="-1" w:firstLine="709"/>
        <w:rPr>
          <w:spacing w:val="-2"/>
        </w:rPr>
      </w:pPr>
      <w:r>
        <w:rPr>
          <w:spacing w:val="-2"/>
        </w:rPr>
        <w:t>- перекрытий (теплого чердака) – 0,978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=0,94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перекрытий (над техподпольем) – 1,66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=0,862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окон – 0,55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=0,534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входные двери – 1,2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=1,2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rFonts w:eastAsia="Times New Roman"/>
          <w:b/>
          <w:b/>
          <w:i/>
          <w:i/>
          <w:iCs/>
        </w:rPr>
      </w:pPr>
      <w:r>
        <w:rPr>
          <w:rFonts w:eastAsia="Times New Roman"/>
          <w:b/>
          <w:i/>
          <w:iCs/>
        </w:rPr>
        <w:t>Энергетические нагрузки здания:</w:t>
      </w:r>
    </w:p>
    <w:p>
      <w:pPr>
        <w:pStyle w:val="Normal"/>
        <w:ind w:right="-1" w:firstLine="709"/>
        <w:rPr>
          <w:rFonts w:eastAsia="Times New Roman"/>
        </w:rPr>
      </w:pPr>
      <w:r>
        <w:rPr>
          <w:rFonts w:eastAsia="Times New Roman"/>
        </w:rPr>
        <w:t xml:space="preserve">- удельный расход тепловой энергии на отопление </w:t>
      </w:r>
    </w:p>
    <w:p>
      <w:pPr>
        <w:pStyle w:val="Normal"/>
        <w:ind w:right="-1" w:firstLine="709"/>
        <w:rPr>
          <w:rFonts w:eastAsia="Times New Roman"/>
        </w:rPr>
      </w:pPr>
      <w:r>
        <w:rPr>
          <w:rFonts w:eastAsia="Times New Roman"/>
        </w:rPr>
        <w:t>и вентиляцию здания за отопительный период</w:t>
        <w:tab/>
        <w:tab/>
        <w:t>- 86,86 кВт∙ч/(м</w:t>
      </w:r>
      <w:r>
        <w:rPr>
          <w:rFonts w:eastAsia="Times New Roman"/>
          <w:vertAlign w:val="superscript"/>
        </w:rPr>
        <w:t>2</w:t>
      </w:r>
      <w:r>
        <w:rPr>
          <w:rFonts w:eastAsia="Times New Roman"/>
        </w:rPr>
        <w:t>∙год)</w:t>
      </w:r>
    </w:p>
    <w:p>
      <w:pPr>
        <w:pStyle w:val="Normal"/>
        <w:ind w:right="-1" w:firstLine="709"/>
        <w:rPr>
          <w:rFonts w:eastAsia="Times New Roman"/>
        </w:rPr>
      </w:pPr>
      <w:r>
        <w:rPr>
          <w:rFonts w:eastAsia="Times New Roman"/>
        </w:rPr>
        <w:tab/>
        <w:tab/>
        <w:tab/>
        <w:tab/>
        <w:tab/>
        <w:tab/>
        <w:tab/>
        <w:tab/>
        <w:t>- 30,7 кВт∙ч/(м</w:t>
      </w:r>
      <w:r>
        <w:rPr>
          <w:rFonts w:eastAsia="Times New Roman"/>
          <w:vertAlign w:val="superscript"/>
        </w:rPr>
        <w:t>3</w:t>
      </w:r>
      <w:r>
        <w:rPr>
          <w:rFonts w:eastAsia="Times New Roman"/>
        </w:rPr>
        <w:t>∙год)</w:t>
      </w:r>
    </w:p>
    <w:p>
      <w:pPr>
        <w:pStyle w:val="Normal"/>
        <w:ind w:right="-1" w:firstLine="709"/>
        <w:rPr>
          <w:rFonts w:eastAsia="Times New Roman"/>
        </w:rPr>
      </w:pPr>
      <w:r>
        <w:rPr>
          <w:rFonts w:eastAsia="Times New Roman"/>
        </w:rPr>
        <w:t xml:space="preserve">- расход тепловой энергии на отопление </w:t>
      </w:r>
    </w:p>
    <w:p>
      <w:pPr>
        <w:pStyle w:val="Normal"/>
        <w:ind w:right="-1" w:firstLine="709"/>
        <w:rPr>
          <w:rFonts w:eastAsia="Times New Roman"/>
        </w:rPr>
      </w:pPr>
      <w:r>
        <w:rPr>
          <w:rFonts w:eastAsia="Times New Roman"/>
        </w:rPr>
        <w:t>и вентиляцию здания за отопительный период</w:t>
        <w:tab/>
        <w:tab/>
        <w:t>- 1301169,67 кВт∙ч/(год)</w:t>
      </w:r>
    </w:p>
    <w:p>
      <w:pPr>
        <w:pStyle w:val="Normal"/>
        <w:ind w:right="-1" w:firstLine="709"/>
        <w:rPr>
          <w:rFonts w:eastAsia="Times New Roman"/>
        </w:rPr>
      </w:pPr>
      <w:r>
        <w:rPr>
          <w:rFonts w:eastAsia="Times New Roman"/>
        </w:rPr>
        <w:t>- общие теплопотери здания за отопительный период</w:t>
        <w:tab/>
        <w:t>- 18216537,5 кВт∙ч/(год)</w:t>
      </w:r>
    </w:p>
    <w:p>
      <w:pPr>
        <w:pStyle w:val="Normal"/>
        <w:ind w:right="-1" w:firstLine="709"/>
        <w:rPr>
          <w:rFonts w:eastAsia="Times New Roman"/>
          <w:b/>
          <w:b/>
          <w:i/>
          <w:i/>
          <w:iCs/>
        </w:rPr>
      </w:pPr>
      <w:r>
        <w:rPr>
          <w:rFonts w:eastAsia="Times New Roman"/>
          <w:b/>
          <w:i/>
          <w:iCs/>
        </w:rPr>
        <w:t>Комплексные показатели расхода тепловой энергии:</w:t>
      </w:r>
    </w:p>
    <w:p>
      <w:pPr>
        <w:pStyle w:val="Normal"/>
        <w:ind w:right="-1" w:firstLine="709"/>
        <w:rPr>
          <w:rFonts w:eastAsia="Times New Roman"/>
        </w:rPr>
      </w:pPr>
      <w:r>
        <w:rPr>
          <w:rFonts w:eastAsia="Times New Roman"/>
        </w:rPr>
        <w:t>Расчетная удельная характеристика расхода тепловой энергии на отопление и вентиляцию здания за отопительный период – 0,25 Вт/(м</w:t>
      </w:r>
      <w:r>
        <w:rPr>
          <w:rFonts w:eastAsia="Times New Roman"/>
          <w:vertAlign w:val="superscript"/>
        </w:rPr>
        <w:t>3</w:t>
      </w:r>
      <w:r>
        <w:rPr>
          <w:rFonts w:eastAsia="Times New Roman"/>
        </w:rPr>
        <w:t>∙</w:t>
      </w:r>
      <w:r>
        <w:rPr>
          <w:rFonts w:eastAsia="Symbol" w:cs="Symbol" w:ascii="Symbol" w:hAnsi="Symbol"/>
        </w:rPr>
        <w:t></w:t>
      </w:r>
      <w:r>
        <w:rPr>
          <w:rFonts w:eastAsia="Times New Roman"/>
        </w:rPr>
        <w:t>С).</w:t>
      </w:r>
    </w:p>
    <w:p>
      <w:pPr>
        <w:pStyle w:val="Normal"/>
        <w:ind w:right="-1" w:firstLine="709"/>
        <w:rPr>
          <w:rFonts w:eastAsia="Times New Roman"/>
        </w:rPr>
      </w:pPr>
      <w:r>
        <w:rPr>
          <w:rFonts w:eastAsia="Times New Roman"/>
        </w:rPr>
        <w:t>Нормируемая удельная характеристика расхода тепловой энергии на отопление и вентиляцию здания за отопительный период – 0,301  Вт/(м</w:t>
      </w:r>
      <w:r>
        <w:rPr>
          <w:rFonts w:eastAsia="Times New Roman"/>
          <w:vertAlign w:val="superscript"/>
        </w:rPr>
        <w:t>3</w:t>
      </w:r>
      <w:r>
        <w:rPr>
          <w:rFonts w:eastAsia="Times New Roman"/>
        </w:rPr>
        <w:t>∙</w:t>
      </w:r>
      <w:r>
        <w:rPr>
          <w:rFonts w:eastAsia="Symbol" w:cs="Symbol" w:ascii="Symbol" w:hAnsi="Symbol"/>
        </w:rPr>
        <w:t></w:t>
      </w:r>
      <w:r>
        <w:rPr>
          <w:rFonts w:eastAsia="Times New Roman"/>
        </w:rPr>
        <w:t>С).</w:t>
      </w:r>
    </w:p>
    <w:p>
      <w:pPr>
        <w:pStyle w:val="Normal"/>
        <w:ind w:right="-1" w:firstLine="709"/>
        <w:rPr>
          <w:rFonts w:eastAsia="Times New Roman"/>
        </w:rPr>
      </w:pPr>
      <w:r>
        <w:rPr>
          <w:rFonts w:eastAsia="Times New Roman"/>
        </w:rPr>
        <w:t xml:space="preserve">Величина отклонения расчетного значения удельного расхода тепловой энергии на отопление здания от нормативного составляет минус 16,9%.  </w:t>
      </w:r>
    </w:p>
    <w:p>
      <w:pPr>
        <w:pStyle w:val="Normal"/>
        <w:ind w:right="-1" w:firstLine="709"/>
        <w:rPr>
          <w:rFonts w:ascii="TimesNewRomanPSMT" w:hAnsi="TimesNewRomanPSMT" w:cs="TimesNewRomanPSMT"/>
          <w:iCs/>
        </w:rPr>
      </w:pPr>
      <w:r>
        <w:rPr>
          <w:rFonts w:cs="TimesNewRomanPSMT" w:ascii="TimesNewRomanPSMT" w:hAnsi="TimesNewRomanPSMT"/>
        </w:rPr>
        <w:t xml:space="preserve">  </w:t>
      </w:r>
      <w:r>
        <w:rPr>
          <w:rFonts w:cs="TimesNewRomanPSMT" w:ascii="TimesNewRomanPSMT" w:hAnsi="TimesNewRomanPSMT"/>
        </w:rPr>
        <w:t>Согласно принятых проектом объёмно-планировочных, конструктивных, энергетических и теплотехнических показателей, и произведенных расчетов энергетической эффективности здание соответствует классу энергетической эффективности – В «Высокий».</w:t>
      </w:r>
    </w:p>
    <w:p>
      <w:pPr>
        <w:pStyle w:val="Normal"/>
        <w:ind w:right="-1" w:firstLine="709"/>
        <w:rPr>
          <w:b/>
          <w:b/>
          <w:i/>
          <w:i/>
          <w:spacing w:val="-2"/>
        </w:rPr>
      </w:pPr>
      <w:r>
        <w:rPr>
          <w:b/>
          <w:i/>
          <w:spacing w:val="-2"/>
        </w:rPr>
      </w:r>
    </w:p>
    <w:p>
      <w:pPr>
        <w:pStyle w:val="Normal"/>
        <w:ind w:right="-1" w:firstLine="709"/>
        <w:rPr>
          <w:b/>
          <w:b/>
          <w:i/>
          <w:i/>
          <w:spacing w:val="-2"/>
        </w:rPr>
      </w:pPr>
      <w:r>
        <w:rPr>
          <w:b/>
          <w:i/>
          <w:spacing w:val="-2"/>
        </w:rPr>
        <w:t>2 этап строительства (секции 6, 7, 8):</w:t>
      </w:r>
    </w:p>
    <w:p>
      <w:pPr>
        <w:pStyle w:val="Normal"/>
        <w:ind w:right="-1" w:firstLine="709"/>
        <w:rPr>
          <w:b/>
          <w:b/>
          <w:i/>
          <w:i/>
          <w:spacing w:val="-2"/>
        </w:rPr>
      </w:pPr>
      <w:r>
        <w:rPr>
          <w:b/>
          <w:i/>
          <w:spacing w:val="-2"/>
        </w:rPr>
      </w:r>
    </w:p>
    <w:p>
      <w:pPr>
        <w:pStyle w:val="Normal"/>
        <w:ind w:right="-1" w:firstLine="709"/>
        <w:rPr>
          <w:b/>
          <w:b/>
          <w:i/>
          <w:i/>
          <w:spacing w:val="-2"/>
        </w:rPr>
      </w:pPr>
      <w:r>
        <w:rPr>
          <w:b/>
          <w:i/>
          <w:spacing w:val="-2"/>
        </w:rPr>
        <w:t>Приведенное сопротивление теплопередаче наружных ограждений:</w:t>
        <w:tab/>
      </w:r>
    </w:p>
    <w:p>
      <w:pPr>
        <w:pStyle w:val="Normal"/>
        <w:ind w:right="-1" w:firstLine="709"/>
        <w:rPr>
          <w:spacing w:val="-2"/>
        </w:rPr>
      </w:pPr>
      <w:r>
        <w:rPr>
          <w:spacing w:val="-2"/>
        </w:rPr>
        <w:t>- стен – 3,84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=3,19 (м</w:t>
      </w:r>
      <w:r>
        <w:rPr>
          <w:spacing w:val="-2"/>
          <w:vertAlign w:val="superscript"/>
        </w:rPr>
        <w:t>2</w:t>
      </w:r>
      <w:r>
        <w:rPr>
          <w:spacing w:val="-2"/>
        </w:rPr>
        <w:t>·</w:t>
      </w:r>
      <w:r>
        <w:rPr>
          <w:rFonts w:eastAsia="Symbol" w:cs="Symbol" w:ascii="Symbol" w:hAnsi="Symbol"/>
          <w:spacing w:val="-2"/>
        </w:rPr>
        <w:t>°</w:t>
      </w:r>
      <w:r>
        <w:rPr>
          <w:spacing w:val="-2"/>
        </w:rPr>
        <w:t xml:space="preserve">С)/Вт </w:t>
      </w:r>
    </w:p>
    <w:p>
      <w:pPr>
        <w:pStyle w:val="Normal"/>
        <w:ind w:right="-1" w:firstLine="709"/>
        <w:rPr>
          <w:spacing w:val="-2"/>
        </w:rPr>
      </w:pPr>
      <w:r>
        <w:rPr>
          <w:spacing w:val="-2"/>
        </w:rPr>
        <w:t>- стен (секция 8) – 3,21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=3,19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покрытий – 1,38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=1,0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перекрытий (теплого чердака) – 0,978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=0,94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перекрытий (над техподпольем) – 1,66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=0,862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окон – 0,55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=0,53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входные двери – 1,2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=1,2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rFonts w:eastAsia="Times New Roman"/>
          <w:b/>
          <w:b/>
          <w:i/>
          <w:i/>
          <w:iCs/>
        </w:rPr>
      </w:pPr>
      <w:r>
        <w:rPr>
          <w:rFonts w:eastAsia="Times New Roman"/>
          <w:b/>
          <w:i/>
          <w:iCs/>
        </w:rPr>
        <w:t>Энергетические нагрузки здания:</w:t>
      </w:r>
    </w:p>
    <w:p>
      <w:pPr>
        <w:pStyle w:val="Normal"/>
        <w:ind w:right="-1" w:firstLine="709"/>
        <w:rPr>
          <w:rFonts w:eastAsia="Times New Roman"/>
        </w:rPr>
      </w:pPr>
      <w:r>
        <w:rPr>
          <w:rFonts w:eastAsia="Times New Roman"/>
        </w:rPr>
        <w:t xml:space="preserve">- удельный расход тепловой энергии на отопление </w:t>
      </w:r>
    </w:p>
    <w:p>
      <w:pPr>
        <w:pStyle w:val="Normal"/>
        <w:ind w:right="-1" w:firstLine="709"/>
        <w:rPr>
          <w:rFonts w:eastAsia="Times New Roman"/>
        </w:rPr>
      </w:pPr>
      <w:r>
        <w:rPr>
          <w:rFonts w:eastAsia="Times New Roman"/>
        </w:rPr>
        <w:t>и вентиляцию здания за отопительный период</w:t>
        <w:tab/>
        <w:tab/>
        <w:t>- 74,96 кВт∙ч/(м</w:t>
      </w:r>
      <w:r>
        <w:rPr>
          <w:rFonts w:eastAsia="Times New Roman"/>
          <w:vertAlign w:val="superscript"/>
        </w:rPr>
        <w:t>2</w:t>
      </w:r>
      <w:r>
        <w:rPr>
          <w:rFonts w:eastAsia="Times New Roman"/>
        </w:rPr>
        <w:t>∙год)</w:t>
      </w:r>
    </w:p>
    <w:p>
      <w:pPr>
        <w:pStyle w:val="Normal"/>
        <w:ind w:right="-1" w:firstLine="709"/>
        <w:rPr>
          <w:rFonts w:eastAsia="Times New Roman"/>
        </w:rPr>
      </w:pPr>
      <w:r>
        <w:rPr>
          <w:rFonts w:eastAsia="Times New Roman"/>
        </w:rPr>
        <w:tab/>
        <w:tab/>
        <w:tab/>
        <w:tab/>
        <w:tab/>
        <w:tab/>
        <w:tab/>
        <w:tab/>
        <w:t>- 27,26 кВт∙ч/(м</w:t>
      </w:r>
      <w:r>
        <w:rPr>
          <w:rFonts w:eastAsia="Times New Roman"/>
          <w:vertAlign w:val="superscript"/>
        </w:rPr>
        <w:t>3</w:t>
      </w:r>
      <w:r>
        <w:rPr>
          <w:rFonts w:eastAsia="Times New Roman"/>
        </w:rPr>
        <w:t>∙год)</w:t>
      </w:r>
    </w:p>
    <w:p>
      <w:pPr>
        <w:pStyle w:val="Normal"/>
        <w:ind w:right="-1" w:firstLine="709"/>
        <w:rPr>
          <w:rFonts w:eastAsia="Times New Roman"/>
        </w:rPr>
      </w:pPr>
      <w:r>
        <w:rPr>
          <w:rFonts w:eastAsia="Times New Roman"/>
        </w:rPr>
        <w:t xml:space="preserve">- расход тепловой энергии на отопление </w:t>
      </w:r>
    </w:p>
    <w:p>
      <w:pPr>
        <w:pStyle w:val="Normal"/>
        <w:ind w:right="-1" w:firstLine="709"/>
        <w:rPr>
          <w:rFonts w:eastAsia="Times New Roman"/>
        </w:rPr>
      </w:pPr>
      <w:r>
        <w:rPr>
          <w:rFonts w:eastAsia="Times New Roman"/>
        </w:rPr>
        <w:t>и вентиляцию здания за отопительный период</w:t>
        <w:tab/>
        <w:tab/>
        <w:t>- 1093600,52 кВт∙ч/(год)</w:t>
      </w:r>
    </w:p>
    <w:p>
      <w:pPr>
        <w:pStyle w:val="Normal"/>
        <w:ind w:right="-1" w:firstLine="709"/>
        <w:rPr>
          <w:rFonts w:eastAsia="Times New Roman"/>
        </w:rPr>
      </w:pPr>
      <w:r>
        <w:rPr>
          <w:rFonts w:eastAsia="Times New Roman"/>
        </w:rPr>
        <w:t>- общие теплопотери здания за отопительный период</w:t>
        <w:tab/>
        <w:t>- 1576361,1 кВт∙ч/(год)</w:t>
      </w:r>
    </w:p>
    <w:p>
      <w:pPr>
        <w:pStyle w:val="Normal"/>
        <w:ind w:right="-1" w:firstLine="709"/>
        <w:rPr>
          <w:rFonts w:eastAsia="Times New Roman"/>
          <w:b/>
          <w:b/>
          <w:i/>
          <w:i/>
          <w:iCs/>
        </w:rPr>
      </w:pPr>
      <w:r>
        <w:rPr>
          <w:rFonts w:eastAsia="Times New Roman"/>
          <w:b/>
          <w:i/>
          <w:iCs/>
        </w:rPr>
        <w:t>Комплексные показатели расхода тепловой энергии:</w:t>
      </w:r>
    </w:p>
    <w:p>
      <w:pPr>
        <w:pStyle w:val="Normal"/>
        <w:ind w:right="-1" w:firstLine="709"/>
        <w:rPr>
          <w:rFonts w:eastAsia="Times New Roman"/>
        </w:rPr>
      </w:pPr>
      <w:r>
        <w:rPr>
          <w:rFonts w:eastAsia="Times New Roman"/>
        </w:rPr>
        <w:t>Расчетная удельная характеристика расхода тепловой энергии на отопление и вентиляцию здания за отопительный период – 0,222 Вт/(м</w:t>
      </w:r>
      <w:r>
        <w:rPr>
          <w:rFonts w:eastAsia="Times New Roman"/>
          <w:vertAlign w:val="superscript"/>
        </w:rPr>
        <w:t>3</w:t>
      </w:r>
      <w:r>
        <w:rPr>
          <w:rFonts w:eastAsia="Times New Roman"/>
        </w:rPr>
        <w:t>∙</w:t>
      </w:r>
      <w:r>
        <w:rPr>
          <w:rFonts w:eastAsia="Symbol" w:cs="Symbol" w:ascii="Symbol" w:hAnsi="Symbol"/>
        </w:rPr>
        <w:t></w:t>
      </w:r>
      <w:r>
        <w:rPr>
          <w:rFonts w:eastAsia="Times New Roman"/>
        </w:rPr>
        <w:t>С).</w:t>
      </w:r>
    </w:p>
    <w:p>
      <w:pPr>
        <w:pStyle w:val="Normal"/>
        <w:ind w:right="-1" w:firstLine="709"/>
        <w:rPr>
          <w:rFonts w:eastAsia="Times New Roman"/>
        </w:rPr>
      </w:pPr>
      <w:r>
        <w:rPr>
          <w:rFonts w:eastAsia="Times New Roman"/>
        </w:rPr>
        <w:t>Нормируемая удельная характеристика расхода тепловой энергии на отопление и вентиляцию здания за отопительный период – 0,29  Вт/(м</w:t>
      </w:r>
      <w:r>
        <w:rPr>
          <w:rFonts w:eastAsia="Times New Roman"/>
          <w:vertAlign w:val="superscript"/>
        </w:rPr>
        <w:t>3</w:t>
      </w:r>
      <w:r>
        <w:rPr>
          <w:rFonts w:eastAsia="Times New Roman"/>
        </w:rPr>
        <w:t>∙</w:t>
      </w:r>
      <w:r>
        <w:rPr>
          <w:rFonts w:eastAsia="Symbol" w:cs="Symbol" w:ascii="Symbol" w:hAnsi="Symbol"/>
        </w:rPr>
        <w:t></w:t>
      </w:r>
      <w:r>
        <w:rPr>
          <w:rFonts w:eastAsia="Times New Roman"/>
        </w:rPr>
        <w:t>С).</w:t>
      </w:r>
    </w:p>
    <w:p>
      <w:pPr>
        <w:pStyle w:val="Normal"/>
        <w:ind w:right="-1" w:firstLine="709"/>
        <w:rPr>
          <w:rFonts w:eastAsia="Times New Roman"/>
        </w:rPr>
      </w:pPr>
      <w:r>
        <w:rPr>
          <w:rFonts w:eastAsia="Times New Roman"/>
        </w:rPr>
        <w:t xml:space="preserve">Величина отклонения расчетного значения удельного расхода тепловой энергии на отопление здания от нормативного составляет минус 23%.  </w:t>
      </w:r>
    </w:p>
    <w:p>
      <w:pPr>
        <w:pStyle w:val="Normal"/>
        <w:ind w:right="-1" w:firstLine="709"/>
        <w:rPr>
          <w:rFonts w:ascii="TimesNewRomanPSMT" w:hAnsi="TimesNewRomanPSMT" w:cs="TimesNewRomanPSMT"/>
          <w:iCs/>
        </w:rPr>
      </w:pPr>
      <w:r>
        <w:rPr>
          <w:rFonts w:cs="TimesNewRomanPSMT" w:ascii="TimesNewRomanPSMT" w:hAnsi="TimesNewRomanPSMT"/>
        </w:rPr>
        <w:t xml:space="preserve">  </w:t>
      </w:r>
      <w:r>
        <w:rPr>
          <w:rFonts w:cs="TimesNewRomanPSMT" w:ascii="TimesNewRomanPSMT" w:hAnsi="TimesNewRomanPSMT"/>
        </w:rPr>
        <w:t>Согласно принятых проектом объёмно-планировочных, конструктивных, энергетических и теплотехнических показателей, и произведенных расчетов энергетической эффективности здание соответствует классу энергетической эффективности – В «Высокий».</w:t>
      </w:r>
    </w:p>
    <w:p>
      <w:pPr>
        <w:pStyle w:val="Normal"/>
        <w:ind w:right="-1" w:firstLine="709"/>
        <w:rPr>
          <w:b/>
          <w:b/>
          <w:i/>
          <w:i/>
          <w:iCs/>
        </w:rPr>
      </w:pPr>
      <w:r>
        <w:rPr>
          <w:b/>
          <w:i/>
          <w:iCs/>
        </w:rPr>
        <w:t>2 этап – нежилые помещения (офисы)</w:t>
      </w:r>
    </w:p>
    <w:p>
      <w:pPr>
        <w:pStyle w:val="Normal"/>
        <w:ind w:right="-1" w:firstLine="709"/>
        <w:rPr>
          <w:b/>
          <w:b/>
          <w:i/>
          <w:i/>
          <w:spacing w:val="-2"/>
        </w:rPr>
      </w:pPr>
      <w:r>
        <w:rPr>
          <w:b/>
          <w:i/>
          <w:spacing w:val="-2"/>
        </w:rPr>
        <w:t>Приведенное сопротивление теплопередаче наружных ограждений:</w:t>
      </w:r>
    </w:p>
    <w:p>
      <w:pPr>
        <w:pStyle w:val="Normal"/>
        <w:ind w:right="-1" w:firstLine="709"/>
        <w:rPr>
          <w:spacing w:val="-2"/>
        </w:rPr>
      </w:pPr>
      <w:r>
        <w:rPr>
          <w:spacing w:val="-2"/>
        </w:rPr>
        <w:t>- стен – 2,94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=2,61 (м</w:t>
      </w:r>
      <w:r>
        <w:rPr>
          <w:spacing w:val="-2"/>
          <w:vertAlign w:val="superscript"/>
        </w:rPr>
        <w:t>2</w:t>
      </w:r>
      <w:r>
        <w:rPr>
          <w:spacing w:val="-2"/>
        </w:rPr>
        <w:t>·</w:t>
      </w:r>
      <w:r>
        <w:rPr>
          <w:rFonts w:eastAsia="Symbol" w:cs="Symbol" w:ascii="Symbol" w:hAnsi="Symbol"/>
          <w:spacing w:val="-2"/>
        </w:rPr>
        <w:t>°</w:t>
      </w:r>
      <w:r>
        <w:rPr>
          <w:spacing w:val="-2"/>
        </w:rPr>
        <w:t xml:space="preserve">С)/Вт </w:t>
      </w:r>
    </w:p>
    <w:p>
      <w:pPr>
        <w:pStyle w:val="Normal"/>
        <w:ind w:right="-1" w:firstLine="709"/>
        <w:rPr>
          <w:spacing w:val="-2"/>
        </w:rPr>
      </w:pPr>
      <w:r>
        <w:rPr>
          <w:spacing w:val="-2"/>
        </w:rPr>
        <w:t>- покрытий – 4,87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=3,48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перекрытий (над техподпольем) – 1,621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=0,6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окон – 0,55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=0,534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spacing w:val="-2"/>
        </w:rPr>
      </w:pPr>
      <w:r>
        <w:rPr>
          <w:spacing w:val="-2"/>
        </w:rPr>
        <w:t>- входные двери – 1,2 (м</w:t>
      </w:r>
      <w:r>
        <w:rPr>
          <w:spacing w:val="-2"/>
          <w:vertAlign w:val="superscript"/>
        </w:rPr>
        <w:t>2</w:t>
      </w:r>
      <w:r>
        <w:rPr>
          <w:spacing w:val="-2"/>
        </w:rPr>
        <w:t>·</w:t>
      </w:r>
      <w:r>
        <w:rPr>
          <w:rFonts w:eastAsia="Symbol" w:cs="Symbol" w:ascii="Symbol" w:hAnsi="Symbol"/>
          <w:spacing w:val="-2"/>
        </w:rPr>
        <w:t>°</w:t>
      </w:r>
      <w:r>
        <w:rPr>
          <w:spacing w:val="-2"/>
        </w:rPr>
        <w:t>С)/Вт; при R</w:t>
      </w:r>
      <w:r>
        <w:rPr>
          <w:spacing w:val="-2"/>
          <w:vertAlign w:val="superscript"/>
        </w:rPr>
        <w:t>тр</w:t>
      </w:r>
      <w:r>
        <w:rPr>
          <w:spacing w:val="-2"/>
          <w:vertAlign w:val="subscript"/>
        </w:rPr>
        <w:t>о</w:t>
      </w:r>
      <w:r>
        <w:rPr>
          <w:spacing w:val="-2"/>
        </w:rPr>
        <w:t>=1,2 (м</w:t>
      </w:r>
      <w:r>
        <w:rPr>
          <w:spacing w:val="-2"/>
          <w:vertAlign w:val="superscript"/>
        </w:rPr>
        <w:t>2</w:t>
      </w:r>
      <w:r>
        <w:rPr>
          <w:spacing w:val="-2"/>
        </w:rPr>
        <w:t>·</w:t>
      </w:r>
      <w:r>
        <w:rPr>
          <w:rFonts w:eastAsia="Symbol" w:cs="Symbol" w:ascii="Symbol" w:hAnsi="Symbol"/>
          <w:spacing w:val="-2"/>
        </w:rPr>
        <w:t>°</w:t>
      </w:r>
      <w:r>
        <w:rPr>
          <w:spacing w:val="-2"/>
        </w:rPr>
        <w:t>С)/Вт</w:t>
      </w:r>
    </w:p>
    <w:p>
      <w:pPr>
        <w:pStyle w:val="Normal"/>
        <w:ind w:right="-1" w:firstLine="709"/>
        <w:rPr>
          <w:b/>
          <w:b/>
          <w:i/>
          <w:i/>
          <w:iCs/>
        </w:rPr>
      </w:pPr>
      <w:r>
        <w:rPr>
          <w:b/>
          <w:i/>
          <w:iCs/>
        </w:rPr>
        <w:t>Энергетические нагрузки здания:</w:t>
      </w:r>
    </w:p>
    <w:p>
      <w:pPr>
        <w:pStyle w:val="Normal"/>
        <w:ind w:right="-1" w:firstLine="709"/>
        <w:rPr/>
      </w:pPr>
      <w:r>
        <w:rPr/>
        <w:t xml:space="preserve">- удельный расход тепловой энергии на отопление </w:t>
      </w:r>
    </w:p>
    <w:p>
      <w:pPr>
        <w:pStyle w:val="Normal"/>
        <w:ind w:right="-1" w:firstLine="709"/>
        <w:rPr/>
      </w:pPr>
      <w:r>
        <w:rPr/>
        <w:t>и вентиляцию здания за отопительный период</w:t>
        <w:tab/>
        <w:tab/>
        <w:t>- 187,5 кВт∙ч/(м</w:t>
      </w:r>
      <w:r>
        <w:rPr>
          <w:vertAlign w:val="superscript"/>
        </w:rPr>
        <w:t>2</w:t>
      </w:r>
      <w:r>
        <w:rPr/>
        <w:t>∙год)</w:t>
      </w:r>
    </w:p>
    <w:p>
      <w:pPr>
        <w:pStyle w:val="Normal"/>
        <w:ind w:right="-1" w:firstLine="709"/>
        <w:rPr/>
      </w:pPr>
      <w:r>
        <w:rPr/>
        <w:tab/>
        <w:tab/>
        <w:tab/>
        <w:tab/>
        <w:tab/>
        <w:tab/>
        <w:tab/>
        <w:tab/>
        <w:t>- 53,0 кВт∙ч/(м</w:t>
      </w:r>
      <w:r>
        <w:rPr>
          <w:vertAlign w:val="superscript"/>
        </w:rPr>
        <w:t>3</w:t>
      </w:r>
      <w:r>
        <w:rPr/>
        <w:t>∙год)</w:t>
      </w:r>
    </w:p>
    <w:p>
      <w:pPr>
        <w:pStyle w:val="Normal"/>
        <w:ind w:right="-1" w:firstLine="709"/>
        <w:rPr/>
      </w:pPr>
      <w:r>
        <w:rPr/>
        <w:t xml:space="preserve">- расход тепловой энергии на отопление </w:t>
      </w:r>
    </w:p>
    <w:p>
      <w:pPr>
        <w:pStyle w:val="Normal"/>
        <w:ind w:right="-1" w:firstLine="709"/>
        <w:rPr/>
      </w:pPr>
      <w:r>
        <w:rPr/>
        <w:t>и вентиляцию здания за отопительный период</w:t>
        <w:tab/>
        <w:tab/>
        <w:t>- 319983,52 кВт∙ч/(год)</w:t>
      </w:r>
    </w:p>
    <w:p>
      <w:pPr>
        <w:pStyle w:val="Normal"/>
        <w:ind w:right="-1" w:firstLine="709"/>
        <w:rPr/>
      </w:pPr>
      <w:r>
        <w:rPr/>
        <w:t>- общие теплопотери здания за отопительный период</w:t>
        <w:tab/>
        <w:t>- 408489,6 кВт∙ч/(год)</w:t>
      </w:r>
    </w:p>
    <w:p>
      <w:pPr>
        <w:pStyle w:val="Normal"/>
        <w:ind w:right="-1" w:firstLine="709"/>
        <w:rPr>
          <w:b/>
          <w:b/>
          <w:i/>
          <w:i/>
          <w:iCs/>
        </w:rPr>
      </w:pPr>
      <w:r>
        <w:rPr>
          <w:b/>
          <w:i/>
          <w:iCs/>
        </w:rPr>
        <w:t>Комплексные показатели расхода тепловой энергии:</w:t>
      </w:r>
    </w:p>
    <w:p>
      <w:pPr>
        <w:pStyle w:val="Normal"/>
        <w:ind w:right="-1" w:firstLine="709"/>
        <w:rPr/>
      </w:pPr>
      <w:r>
        <w:rPr/>
        <w:t>Расчетная удельная характеристика расхода тепловой энергии на отопление и вентиляцию здания за отопительный период – 0,47 Вт/(м</w:t>
      </w:r>
      <w:r>
        <w:rPr>
          <w:vertAlign w:val="superscript"/>
        </w:rPr>
        <w:t>3</w:t>
      </w:r>
      <w:r>
        <w:rPr/>
        <w:t>∙</w:t>
      </w:r>
      <w:r>
        <w:rPr>
          <w:rFonts w:eastAsia="Symbol" w:cs="Symbol" w:ascii="Symbol" w:hAnsi="Symbol"/>
        </w:rPr>
        <w:t></w:t>
      </w:r>
      <w:r>
        <w:rPr/>
        <w:t>С).</w:t>
      </w:r>
    </w:p>
    <w:p>
      <w:pPr>
        <w:pStyle w:val="Normal"/>
        <w:ind w:right="-1" w:firstLine="709"/>
        <w:rPr/>
      </w:pPr>
      <w:r>
        <w:rPr/>
        <w:t>Нормируемая удельная характеристика расхода тепловой энергии на отопление и вентиляцию здания за отопительный период - 0,417 Вт/(м</w:t>
      </w:r>
      <w:r>
        <w:rPr>
          <w:vertAlign w:val="superscript"/>
        </w:rPr>
        <w:t>3</w:t>
      </w:r>
      <w:r>
        <w:rPr/>
        <w:t>∙</w:t>
      </w:r>
      <w:r>
        <w:rPr>
          <w:rFonts w:eastAsia="Symbol" w:cs="Symbol" w:ascii="Symbol" w:hAnsi="Symbol"/>
        </w:rPr>
        <w:t></w:t>
      </w:r>
      <w:r>
        <w:rPr/>
        <w:t>С).</w:t>
      </w:r>
    </w:p>
    <w:p>
      <w:pPr>
        <w:pStyle w:val="Normal"/>
        <w:ind w:right="-1" w:firstLine="709"/>
        <w:rPr/>
      </w:pPr>
      <w:r>
        <w:rPr/>
        <w:t xml:space="preserve">Величина отклонения расчетного значения удельного расхода тепловой энергии на отопление здания от нормативного составляет плюс 12,7%.  </w:t>
      </w:r>
    </w:p>
    <w:p>
      <w:pPr>
        <w:pStyle w:val="Normal"/>
        <w:ind w:right="-1" w:firstLine="709"/>
        <w:rPr>
          <w:iCs/>
        </w:rPr>
      </w:pPr>
      <w:r>
        <w:rPr/>
        <w:t>Согласно принятых проектом объёмно-планировочных, конструктивных, энергетических и теплотехнических показателей, и произведенных расчетов энергетической эффективности здание соответствует классу энергетической эффективности – С- «Нормальный».</w:t>
      </w:r>
    </w:p>
    <w:p>
      <w:pPr>
        <w:pStyle w:val="Normal"/>
        <w:widowControl/>
        <w:ind w:right="-1" w:firstLine="709"/>
        <w:rPr>
          <w:rFonts w:eastAsia="Times New Roman"/>
          <w:color w:val="000000" w:themeColor="text1"/>
        </w:rPr>
      </w:pPr>
      <w:r>
        <w:rPr>
          <w:rFonts w:eastAsia="Times New Roman"/>
          <w:color w:val="000000" w:themeColor="text1"/>
        </w:rPr>
      </w:r>
    </w:p>
    <w:p>
      <w:pPr>
        <w:pStyle w:val="Normal"/>
        <w:widowControl/>
        <w:ind w:right="-1" w:firstLine="709"/>
        <w:rPr>
          <w:rFonts w:eastAsia="Times New Roman"/>
          <w:color w:val="000000" w:themeColor="text1"/>
          <w:highlight w:val="yellow"/>
        </w:rPr>
      </w:pPr>
      <w:r>
        <w:rPr>
          <w:rFonts w:eastAsia="Times New Roman"/>
          <w:color w:val="000000" w:themeColor="text1"/>
        </w:rPr>
        <w:t xml:space="preserve">  </w:t>
      </w:r>
    </w:p>
    <w:p>
      <w:pPr>
        <w:pStyle w:val="Normal"/>
        <w:widowControl/>
        <w:ind w:right="-1" w:hanging="0"/>
        <w:rPr>
          <w:rFonts w:eastAsia="Times New Roman"/>
          <w:b/>
          <w:b/>
          <w:color w:val="000000" w:themeColor="text1"/>
        </w:rPr>
      </w:pPr>
      <w:r>
        <w:rPr>
          <w:rFonts w:eastAsia="Times New Roman"/>
          <w:b/>
          <w:color w:val="000000" w:themeColor="text1"/>
        </w:rPr>
        <w:t>3.3. Сведения об оперативных изменениях, внесенных заявителем в рассматриваемые разделы проектной документации в процессе проведения экспертизы.</w:t>
      </w:r>
    </w:p>
    <w:p>
      <w:pPr>
        <w:pStyle w:val="Normal"/>
        <w:widowControl/>
        <w:ind w:right="-1" w:firstLine="709"/>
        <w:rPr>
          <w:rFonts w:eastAsia="Times New Roman"/>
          <w:b/>
          <w:b/>
          <w:color w:val="000000" w:themeColor="text1"/>
        </w:rPr>
      </w:pPr>
      <w:r>
        <w:rPr>
          <w:rFonts w:eastAsia="Times New Roman"/>
          <w:b/>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3.3.1. Раздел "Схема планировочной организации земельного участка (генеральный план)"</w:t>
      </w:r>
    </w:p>
    <w:p>
      <w:pPr>
        <w:pStyle w:val="Normal"/>
        <w:widowControl/>
        <w:ind w:right="-1" w:firstLine="709"/>
        <w:rPr/>
      </w:pPr>
      <w:r>
        <w:rPr/>
        <w:t>При проведении экспертизы в проектную документацию внесены изменения в оперативном порядке:</w:t>
      </w:r>
    </w:p>
    <w:p>
      <w:pPr>
        <w:pStyle w:val="Normal"/>
        <w:ind w:right="-1" w:firstLine="709"/>
        <w:rPr>
          <w:rFonts w:ascii="Times New Roman CYR" w:hAnsi="Times New Roman CYR" w:cs="Times New Roman CYR"/>
          <w:color w:val="000000"/>
        </w:rPr>
      </w:pPr>
      <w:r>
        <w:rPr>
          <w:color w:val="000000"/>
        </w:rPr>
        <w:t>1.</w:t>
        <w:tab/>
      </w:r>
      <w:r>
        <w:rPr>
          <w:rFonts w:cs="Times New Roman CYR" w:ascii="Times New Roman CYR" w:hAnsi="Times New Roman CYR"/>
          <w:color w:val="000000"/>
        </w:rPr>
        <w:t>Увеличены габариты машино-места до 5,3х2,5 м с учетом минимально допустимых зазоров безопасности.</w:t>
      </w:r>
    </w:p>
    <w:p>
      <w:pPr>
        <w:pStyle w:val="Normal"/>
        <w:ind w:right="-1" w:firstLine="709"/>
        <w:rPr>
          <w:rFonts w:ascii="Times New Roman CYR" w:hAnsi="Times New Roman CYR" w:cs="Times New Roman CYR"/>
          <w:color w:val="000000"/>
        </w:rPr>
      </w:pPr>
      <w:r>
        <w:rPr>
          <w:color w:val="000000"/>
        </w:rPr>
        <w:t>2.</w:t>
        <w:tab/>
      </w:r>
      <w:r>
        <w:rPr>
          <w:rFonts w:cs="Times New Roman CYR" w:ascii="Times New Roman CYR" w:hAnsi="Times New Roman CYR"/>
          <w:color w:val="000000"/>
        </w:rPr>
        <w:t>Внесены изменения в расчет парковочных мест.</w:t>
      </w:r>
    </w:p>
    <w:p>
      <w:pPr>
        <w:pStyle w:val="Normal"/>
        <w:widowControl/>
        <w:ind w:right="-1" w:firstLine="709"/>
        <w:rPr/>
      </w:pPr>
      <w:r>
        <w:rPr/>
      </w:r>
    </w:p>
    <w:p>
      <w:pPr>
        <w:pStyle w:val="Normal"/>
        <w:widowControl/>
        <w:ind w:right="-1" w:firstLine="709"/>
        <w:rPr>
          <w:rFonts w:eastAsia="Times New Roman"/>
          <w:b/>
          <w:b/>
          <w:color w:val="000000" w:themeColor="text1"/>
        </w:rPr>
      </w:pPr>
      <w:r>
        <w:rPr>
          <w:rFonts w:eastAsia="Times New Roman"/>
          <w:b/>
          <w:color w:val="000000" w:themeColor="text1"/>
        </w:rPr>
      </w:r>
    </w:p>
    <w:p>
      <w:pPr>
        <w:pStyle w:val="Normal"/>
        <w:widowControl/>
        <w:ind w:right="-1" w:hanging="0"/>
        <w:rPr>
          <w:rFonts w:eastAsia="Times New Roman"/>
          <w:b/>
          <w:b/>
          <w:color w:val="000000" w:themeColor="text1"/>
        </w:rPr>
      </w:pPr>
      <w:r>
        <w:rPr>
          <w:rFonts w:eastAsia="Times New Roman"/>
          <w:b/>
          <w:color w:val="000000" w:themeColor="text1"/>
        </w:rPr>
        <w:t>3.3.2. Раздел "Архитектурные решения"</w:t>
      </w:r>
    </w:p>
    <w:p>
      <w:pPr>
        <w:pStyle w:val="Normal"/>
        <w:widowControl/>
        <w:ind w:right="-1" w:firstLine="709"/>
        <w:rPr>
          <w:rFonts w:eastAsia="Times New Roman"/>
          <w:b/>
          <w:b/>
          <w:color w:val="000000" w:themeColor="text1"/>
        </w:rPr>
      </w:pPr>
      <w:r>
        <w:rPr>
          <w:rFonts w:eastAsia="Times New Roman"/>
          <w:b/>
          <w:color w:val="000000" w:themeColor="text1"/>
        </w:rPr>
      </w:r>
    </w:p>
    <w:p>
      <w:pPr>
        <w:pStyle w:val="Normal"/>
        <w:widowControl/>
        <w:ind w:right="-1" w:firstLine="709"/>
        <w:rPr>
          <w:rFonts w:eastAsia="Times New Roman"/>
          <w:color w:val="000000" w:themeColor="text1"/>
        </w:rPr>
      </w:pPr>
      <w:r>
        <w:rPr/>
        <w:t>При проведении экспертизы в проектную документацию внесены изменения в оперативном порядке:</w:t>
      </w:r>
    </w:p>
    <w:p>
      <w:pPr>
        <w:pStyle w:val="ListParagraph"/>
        <w:ind w:left="0" w:right="-1" w:firstLine="709"/>
        <w:rPr/>
      </w:pPr>
      <w:r>
        <w:rPr/>
        <w:t>- Оконные блоки приведены в соответствие с ГОСТ23166-99,  п.5.1.6. Внесены изменения в листы 1,2,8,9,15,16,22,23,29,30,37,38,44,45,52,53.</w:t>
      </w:r>
    </w:p>
    <w:p>
      <w:pPr>
        <w:pStyle w:val="Normal"/>
        <w:widowControl/>
        <w:ind w:right="-1" w:firstLine="709"/>
        <w:rPr>
          <w:b/>
          <w:b/>
          <w:color w:val="000000" w:themeColor="text1"/>
          <w:highlight w:val="yellow"/>
        </w:rPr>
      </w:pPr>
      <w:r>
        <w:rPr>
          <w:b/>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3.3.3. Раздел "Система электроснабжения"</w:t>
      </w:r>
    </w:p>
    <w:p>
      <w:pPr>
        <w:pStyle w:val="Normal"/>
        <w:ind w:right="-1" w:firstLine="709"/>
        <w:rPr>
          <w:rFonts w:eastAsia="Calibri" w:eastAsiaTheme="minorHAnsi"/>
          <w:b/>
          <w:b/>
          <w:color w:val="000000" w:themeColor="text1"/>
          <w:lang w:eastAsia="en-US"/>
        </w:rPr>
      </w:pPr>
      <w:r>
        <w:rPr>
          <w:rFonts w:eastAsia="Calibri" w:eastAsiaTheme="minorHAnsi"/>
          <w:b/>
          <w:color w:val="000000" w:themeColor="text1"/>
          <w:lang w:eastAsia="en-US"/>
        </w:rPr>
      </w:r>
    </w:p>
    <w:p>
      <w:pPr>
        <w:pStyle w:val="Normal"/>
        <w:ind w:right="-1" w:firstLine="709"/>
        <w:rPr>
          <w:rFonts w:eastAsia="Calibri" w:eastAsiaTheme="minorHAnsi"/>
          <w:color w:val="000000" w:themeColor="text1"/>
          <w:lang w:eastAsia="en-US"/>
        </w:rPr>
      </w:pPr>
      <w:r>
        <w:rPr>
          <w:rFonts w:eastAsia="Calibri" w:eastAsiaTheme="minorHAnsi"/>
          <w:color w:val="000000" w:themeColor="text1"/>
          <w:lang w:eastAsia="en-US"/>
        </w:rPr>
        <w:t>При проведении экспертизы в проектную документацию внесены изменения в оперативном порядке:</w:t>
      </w:r>
    </w:p>
    <w:p>
      <w:pPr>
        <w:pStyle w:val="Normal"/>
        <w:ind w:right="-1" w:firstLine="709"/>
        <w:rPr/>
      </w:pPr>
      <w:r>
        <w:rPr/>
        <w:t>-технические условия представлены;</w:t>
      </w:r>
    </w:p>
    <w:p>
      <w:pPr>
        <w:pStyle w:val="Normal"/>
        <w:ind w:right="-1" w:firstLine="709"/>
        <w:rPr/>
      </w:pPr>
      <w:r>
        <w:rPr/>
        <w:t>-задание на проектирование представлено;</w:t>
      </w:r>
    </w:p>
    <w:p>
      <w:pPr>
        <w:pStyle w:val="Normal"/>
        <w:ind w:right="-1" w:firstLine="709"/>
        <w:rPr/>
      </w:pPr>
      <w:r>
        <w:rPr/>
        <w:t xml:space="preserve">– </w:t>
      </w:r>
      <w:r>
        <w:rPr/>
        <w:t>разночтения устранены;</w:t>
      </w:r>
    </w:p>
    <w:p>
      <w:pPr>
        <w:pStyle w:val="Normal"/>
        <w:ind w:right="-1" w:firstLine="709"/>
        <w:rPr/>
      </w:pPr>
      <w:r>
        <w:rPr/>
        <w:t>- используемые в проекте провода ПуГВнг(А)-</w:t>
      </w:r>
      <w:r>
        <w:rPr>
          <w:lang w:val="en-US"/>
        </w:rPr>
        <w:t>LS</w:t>
      </w:r>
      <w:r>
        <w:rPr/>
        <w:t xml:space="preserve">  удовлетворяют требованиям </w:t>
      </w:r>
    </w:p>
    <w:p>
      <w:pPr>
        <w:pStyle w:val="Normal"/>
        <w:ind w:right="-1" w:firstLine="709"/>
        <w:rPr/>
      </w:pPr>
      <w:r>
        <w:rPr/>
        <w:t>ГОСТ 31565-2012;</w:t>
      </w:r>
    </w:p>
    <w:p>
      <w:pPr>
        <w:pStyle w:val="Normal"/>
        <w:ind w:right="-1" w:firstLine="709"/>
        <w:rPr/>
      </w:pPr>
      <w:r>
        <w:rPr>
          <w:shd w:fill="FFFFFF" w:val="clear"/>
        </w:rPr>
        <w:t>-групповые сети аварийного освещения (Гр.1А) выполнены огнестойким кабелем;</w:t>
      </w:r>
    </w:p>
    <w:p>
      <w:pPr>
        <w:pStyle w:val="Normal"/>
        <w:ind w:right="-1" w:firstLine="709"/>
        <w:rPr>
          <w:bCs/>
        </w:rPr>
      </w:pPr>
      <w:r>
        <w:rPr/>
        <w:t>-</w:t>
      </w:r>
      <w:r>
        <w:rPr>
          <w:bCs/>
        </w:rPr>
        <w:t xml:space="preserve"> на однолинейной схеме электроснабжения 0,4кВ указаны расчетные величины токов однофазного короткого замыкания (Линии ТП-Н1 – ТП-Н10).</w:t>
      </w:r>
    </w:p>
    <w:p>
      <w:pPr>
        <w:pStyle w:val="Normal"/>
        <w:widowControl/>
        <w:ind w:right="-1" w:firstLine="709"/>
        <w:rPr>
          <w:rFonts w:eastAsia="Times New Roman"/>
          <w:b/>
          <w:b/>
          <w:bCs/>
          <w:color w:val="000000" w:themeColor="text1"/>
          <w:highlight w:val="yellow"/>
        </w:rPr>
      </w:pPr>
      <w:r>
        <w:rPr>
          <w:rFonts w:eastAsia="Times New Roman"/>
          <w:b/>
          <w:bCs/>
          <w:color w:val="000000" w:themeColor="text1"/>
          <w:highlight w:val="yellow"/>
        </w:rPr>
      </w:r>
    </w:p>
    <w:p>
      <w:pPr>
        <w:pStyle w:val="Normal"/>
        <w:widowControl/>
        <w:ind w:right="-1" w:hanging="0"/>
        <w:rPr>
          <w:rFonts w:eastAsia="Times New Roman"/>
          <w:b/>
          <w:b/>
          <w:bCs/>
          <w:color w:val="000000" w:themeColor="text1"/>
        </w:rPr>
      </w:pPr>
      <w:r>
        <w:rPr>
          <w:rFonts w:eastAsia="Times New Roman"/>
          <w:b/>
          <w:bCs/>
          <w:color w:val="000000" w:themeColor="text1"/>
        </w:rPr>
        <w:t>3.3.4. Раздел "Отопление, вентиляция. Тепловые сети."</w:t>
      </w:r>
    </w:p>
    <w:p>
      <w:pPr>
        <w:pStyle w:val="Normal"/>
        <w:widowControl/>
        <w:ind w:right="-1" w:firstLine="709"/>
        <w:rPr>
          <w:rFonts w:eastAsia="Times New Roman"/>
          <w:b/>
          <w:b/>
          <w:bCs/>
          <w:color w:val="000000" w:themeColor="text1"/>
        </w:rPr>
      </w:pPr>
      <w:r>
        <w:rPr>
          <w:rFonts w:eastAsia="Times New Roman"/>
          <w:b/>
          <w:bCs/>
          <w:color w:val="000000" w:themeColor="text1"/>
        </w:rPr>
      </w:r>
    </w:p>
    <w:p>
      <w:pPr>
        <w:pStyle w:val="Normal"/>
        <w:widowControl/>
        <w:ind w:right="-1" w:firstLine="709"/>
        <w:rPr>
          <w:rFonts w:eastAsia="Times New Roman"/>
          <w:bCs/>
          <w:color w:val="000000" w:themeColor="text1"/>
        </w:rPr>
      </w:pPr>
      <w:r>
        <w:rPr>
          <w:rFonts w:eastAsia="Times New Roman"/>
          <w:bCs/>
          <w:color w:val="000000" w:themeColor="text1"/>
        </w:rPr>
        <w:t>При проведении экспертизы проектной документации в оперативном порядке внесены следующие изменения:</w:t>
      </w:r>
    </w:p>
    <w:p>
      <w:pPr>
        <w:pStyle w:val="Normal"/>
        <w:ind w:right="-1" w:firstLine="709"/>
        <w:rPr/>
      </w:pPr>
      <w:r>
        <w:rPr/>
        <w:t>-Предоставлены технические условия на присоединение к тепловым сетям.</w:t>
      </w:r>
    </w:p>
    <w:p>
      <w:pPr>
        <w:pStyle w:val="Normal"/>
        <w:ind w:right="-1" w:firstLine="709"/>
        <w:rPr/>
      </w:pPr>
      <w:r>
        <w:rPr/>
        <w:t>-Приведены решения по вентиляции мусоропровода.</w:t>
      </w:r>
    </w:p>
    <w:p>
      <w:pPr>
        <w:pStyle w:val="Normal"/>
        <w:ind w:right="-1" w:firstLine="709"/>
        <w:rPr/>
      </w:pPr>
      <w:r>
        <w:rPr/>
        <w:t>-Предусмотрены дополнительные отопительные приборы в угловых комнатах вдоль наружных стен.</w:t>
      </w:r>
    </w:p>
    <w:p>
      <w:pPr>
        <w:pStyle w:val="Normal"/>
        <w:ind w:right="-1" w:firstLine="709"/>
        <w:rPr/>
      </w:pPr>
      <w:r>
        <w:rPr/>
        <w:t xml:space="preserve">-Расход воздуха, удаляемого из объема теплого чердака, принят на 30% больше нормативного, удаляемого из жилых помещений согласно «Рекомендациям по проектированию железобетонных крыш с теплым чердаком для жилых зданий различной этажности. </w:t>
      </w:r>
    </w:p>
    <w:p>
      <w:pPr>
        <w:pStyle w:val="Normal"/>
        <w:ind w:right="-1" w:firstLine="709"/>
        <w:rPr>
          <w:rFonts w:ascii="Arial" w:hAnsi="Arial" w:eastAsia="Times New Roman" w:cs="Arial"/>
          <w:sz w:val="25"/>
          <w:szCs w:val="25"/>
        </w:rPr>
      </w:pPr>
      <w:r>
        <w:rPr/>
        <w:t>-Схема дымоудаления из коридора ДУ3 откорректирована с учетом открытия дымоудаляемых устройств только на этаже пожара.</w:t>
      </w:r>
    </w:p>
    <w:p>
      <w:pPr>
        <w:pStyle w:val="Normal"/>
        <w:widowControl/>
        <w:ind w:right="-1" w:firstLine="709"/>
        <w:rPr>
          <w:rFonts w:eastAsia="Times New Roman"/>
          <w:bCs/>
          <w:color w:val="000000" w:themeColor="text1"/>
          <w:highlight w:val="yellow"/>
        </w:rPr>
      </w:pPr>
      <w:r>
        <w:rPr>
          <w:rFonts w:eastAsia="Times New Roman"/>
          <w:bCs/>
          <w:color w:val="000000" w:themeColor="text1"/>
          <w:highlight w:val="yellow"/>
        </w:rPr>
      </w:r>
    </w:p>
    <w:p>
      <w:pPr>
        <w:pStyle w:val="Normal"/>
        <w:widowControl/>
        <w:ind w:right="-1" w:hanging="0"/>
        <w:rPr>
          <w:rFonts w:eastAsia="Times New Roman"/>
          <w:b/>
          <w:b/>
          <w:bCs/>
          <w:color w:val="000000" w:themeColor="text1"/>
        </w:rPr>
      </w:pPr>
      <w:r>
        <w:rPr>
          <w:rFonts w:eastAsia="Times New Roman"/>
          <w:b/>
          <w:bCs/>
          <w:color w:val="000000" w:themeColor="text1"/>
        </w:rPr>
        <w:t>3.3.5. Раздел "</w:t>
      </w:r>
      <w:r>
        <w:rPr>
          <w:rFonts w:eastAsia="Times New Roman"/>
          <w:b/>
          <w:color w:val="000000" w:themeColor="text1"/>
        </w:rPr>
        <w:t xml:space="preserve"> Проект организации строительства</w:t>
      </w:r>
      <w:r>
        <w:rPr>
          <w:rFonts w:eastAsia="Times New Roman"/>
          <w:b/>
          <w:bCs/>
          <w:color w:val="000000" w:themeColor="text1"/>
        </w:rPr>
        <w:t>".</w:t>
      </w:r>
    </w:p>
    <w:p>
      <w:pPr>
        <w:pStyle w:val="Normal"/>
        <w:widowControl/>
        <w:ind w:right="-1" w:firstLine="709"/>
        <w:rPr>
          <w:rFonts w:eastAsia="Times New Roman"/>
          <w:b/>
          <w:b/>
          <w:bCs/>
          <w:color w:val="000000" w:themeColor="text1"/>
        </w:rPr>
      </w:pPr>
      <w:r>
        <w:rPr>
          <w:rFonts w:eastAsia="Times New Roman"/>
          <w:b/>
          <w:bCs/>
          <w:color w:val="000000" w:themeColor="text1"/>
        </w:rPr>
      </w:r>
    </w:p>
    <w:p>
      <w:pPr>
        <w:pStyle w:val="Normal"/>
        <w:widowControl/>
        <w:ind w:right="-1" w:firstLine="709"/>
        <w:rPr>
          <w:rFonts w:eastAsia="Times New Roman"/>
          <w:bCs/>
          <w:color w:val="000000" w:themeColor="text1"/>
        </w:rPr>
      </w:pPr>
      <w:r>
        <w:rPr>
          <w:rFonts w:eastAsia="Times New Roman"/>
          <w:bCs/>
          <w:color w:val="000000" w:themeColor="text1"/>
        </w:rPr>
        <w:t>При проведении экспертизы в проектную документацию внесены изменения в оперативном порядке:</w:t>
      </w:r>
    </w:p>
    <w:p>
      <w:pPr>
        <w:pStyle w:val="Normal"/>
        <w:tabs>
          <w:tab w:val="left" w:pos="-567" w:leader="none"/>
        </w:tabs>
        <w:ind w:right="-1" w:firstLine="709"/>
        <w:rPr>
          <w:lang w:eastAsia="en-US"/>
        </w:rPr>
      </w:pPr>
      <w:r>
        <w:rPr>
          <w:color w:val="000000"/>
        </w:rPr>
        <w:t xml:space="preserve">- </w:t>
      </w:r>
      <w:r>
        <w:rPr>
          <w:lang w:eastAsia="en-US"/>
        </w:rPr>
        <w:t>Размеры проектируемого жилого дома в осях приведены в соответствие с разделом АР.</w:t>
      </w:r>
    </w:p>
    <w:p>
      <w:pPr>
        <w:pStyle w:val="Normal"/>
        <w:tabs>
          <w:tab w:val="left" w:pos="-567" w:leader="none"/>
        </w:tabs>
        <w:ind w:right="-1" w:firstLine="709"/>
        <w:rPr/>
      </w:pPr>
      <w:r>
        <w:rPr>
          <w:lang w:eastAsia="en-US"/>
        </w:rPr>
        <w:t xml:space="preserve">- Увеличены </w:t>
      </w:r>
      <w:r>
        <w:rPr/>
        <w:t xml:space="preserve">габариты машино-места с учетом минимально допустимых зазоров безопасности - 5,3×2,5 м.  </w:t>
      </w:r>
    </w:p>
    <w:p>
      <w:pPr>
        <w:pStyle w:val="Normal"/>
        <w:tabs>
          <w:tab w:val="left" w:pos="-567" w:leader="none"/>
        </w:tabs>
        <w:ind w:right="-1" w:firstLine="709"/>
        <w:rPr>
          <w:rFonts w:ascii="Times New Roman CYR" w:hAnsi="Times New Roman CYR" w:cs="Times New Roman CYR"/>
          <w:color w:val="000000"/>
        </w:rPr>
      </w:pPr>
      <w:r>
        <w:rPr/>
        <w:t>- Количество парковочных мест увеличено до 36</w:t>
      </w:r>
      <w:r>
        <w:rPr>
          <w:lang w:eastAsia="en-US"/>
        </w:rPr>
        <w:t xml:space="preserve"> м/мест, из расчета 1 м/место на 2 квартиры.</w:t>
      </w:r>
    </w:p>
    <w:p>
      <w:pPr>
        <w:pStyle w:val="Normal"/>
        <w:widowControl/>
        <w:ind w:right="-1" w:firstLine="709"/>
        <w:rPr>
          <w:rFonts w:eastAsia="Times New Roman"/>
          <w:b/>
          <w:b/>
          <w:bCs/>
          <w:color w:val="000000" w:themeColor="text1"/>
          <w:highlight w:val="yellow"/>
        </w:rPr>
      </w:pPr>
      <w:r>
        <w:rPr>
          <w:rFonts w:eastAsia="Times New Roman"/>
          <w:b/>
          <w:bCs/>
          <w:color w:val="000000" w:themeColor="text1"/>
          <w:highlight w:val="yellow"/>
        </w:rPr>
      </w:r>
    </w:p>
    <w:p>
      <w:pPr>
        <w:pStyle w:val="Normal"/>
        <w:widowControl/>
        <w:ind w:right="-1" w:hanging="0"/>
        <w:rPr>
          <w:rFonts w:eastAsia="Times New Roman"/>
          <w:b/>
          <w:b/>
          <w:bCs/>
          <w:color w:val="000000" w:themeColor="text1"/>
        </w:rPr>
      </w:pPr>
      <w:r>
        <w:rPr>
          <w:rFonts w:eastAsia="Times New Roman"/>
          <w:b/>
          <w:bCs/>
          <w:color w:val="000000" w:themeColor="text1"/>
        </w:rPr>
        <w:t>3.3.6. Раздел "</w:t>
      </w:r>
      <w:r>
        <w:rPr>
          <w:rFonts w:eastAsia="Times New Roman"/>
          <w:b/>
          <w:color w:val="000000" w:themeColor="text1"/>
        </w:rPr>
        <w:t xml:space="preserve"> Мероприятия по обеспечению пожарной безопасности</w:t>
      </w:r>
      <w:r>
        <w:rPr>
          <w:rFonts w:eastAsia="Times New Roman"/>
          <w:b/>
          <w:bCs/>
          <w:color w:val="000000" w:themeColor="text1"/>
        </w:rPr>
        <w:t xml:space="preserve"> "</w:t>
      </w:r>
    </w:p>
    <w:p>
      <w:pPr>
        <w:pStyle w:val="Normal"/>
        <w:widowControl/>
        <w:ind w:right="-1" w:firstLine="709"/>
        <w:rPr>
          <w:rFonts w:eastAsia="Times New Roman"/>
          <w:b/>
          <w:b/>
          <w:bCs/>
          <w:color w:val="000000" w:themeColor="text1"/>
        </w:rPr>
      </w:pPr>
      <w:r>
        <w:rPr>
          <w:rFonts w:eastAsia="Times New Roman"/>
          <w:b/>
          <w:bCs/>
          <w:color w:val="000000" w:themeColor="text1"/>
        </w:rPr>
      </w:r>
    </w:p>
    <w:p>
      <w:pPr>
        <w:pStyle w:val="Normal"/>
        <w:widowControl/>
        <w:ind w:right="-1" w:firstLine="709"/>
        <w:rPr>
          <w:rFonts w:eastAsia="Times New Roman"/>
          <w:bCs/>
          <w:color w:val="000000" w:themeColor="text1"/>
        </w:rPr>
      </w:pPr>
      <w:r>
        <w:rPr>
          <w:rFonts w:eastAsia="Times New Roman"/>
          <w:bCs/>
          <w:color w:val="000000" w:themeColor="text1"/>
        </w:rPr>
        <w:t>При проведении экспертизы в проектную документацию внесены изменения в оперативном порядке:</w:t>
      </w:r>
    </w:p>
    <w:p>
      <w:pPr>
        <w:pStyle w:val="NoSpacing"/>
        <w:ind w:right="-1" w:firstLine="709"/>
        <w:rPr/>
      </w:pPr>
      <w:r>
        <w:rPr/>
        <w:t xml:space="preserve">- В составе раздела перегородки, стены и перекрытия, отделяющие мусоросборную камеру предусмотрены с классом пожарной опасности строительных материалов К0. </w:t>
      </w:r>
    </w:p>
    <w:p>
      <w:pPr>
        <w:pStyle w:val="Normal"/>
        <w:ind w:right="-1" w:firstLine="709"/>
        <w:rPr/>
      </w:pPr>
      <w:r>
        <w:rPr/>
        <w:t>- В составе проектных решений в соответствии с техническим заданием доступ для групп населения с ограниченными возможностями передвижения предусмотрен только на 1-е этажи 10-ти этажных секций зданий многоквартирных жилых домов.</w:t>
      </w:r>
    </w:p>
    <w:p>
      <w:pPr>
        <w:pStyle w:val="Normal"/>
        <w:widowControl/>
        <w:ind w:right="-1" w:firstLine="709"/>
        <w:rPr>
          <w:rFonts w:eastAsia="Times New Roman"/>
          <w:bCs/>
          <w:color w:val="000000" w:themeColor="text1"/>
        </w:rPr>
      </w:pPr>
      <w:r>
        <w:rPr>
          <w:rFonts w:eastAsia="Times New Roman"/>
          <w:bCs/>
          <w:color w:val="000000" w:themeColor="text1"/>
        </w:rPr>
      </w:r>
    </w:p>
    <w:p>
      <w:pPr>
        <w:pStyle w:val="Normal"/>
        <w:widowControl/>
        <w:ind w:right="-1" w:firstLine="709"/>
        <w:rPr>
          <w:rFonts w:eastAsia="Times New Roman"/>
          <w:b/>
          <w:b/>
          <w:bCs/>
          <w:color w:val="000000" w:themeColor="text1"/>
        </w:rPr>
      </w:pPr>
      <w:r>
        <w:rPr>
          <w:rFonts w:eastAsia="Times New Roman"/>
          <w:b/>
          <w:bCs/>
          <w:color w:val="000000" w:themeColor="text1"/>
        </w:rPr>
      </w:r>
    </w:p>
    <w:p>
      <w:pPr>
        <w:pStyle w:val="Normal"/>
        <w:widowControl/>
        <w:ind w:right="-1" w:firstLine="709"/>
        <w:jc w:val="center"/>
        <w:rPr>
          <w:rFonts w:eastAsia="Times New Roman"/>
          <w:b/>
          <w:b/>
          <w:bCs/>
          <w:color w:val="000000" w:themeColor="text1"/>
        </w:rPr>
      </w:pPr>
      <w:r>
        <w:rPr>
          <w:rFonts w:eastAsia="Times New Roman"/>
          <w:b/>
          <w:bCs/>
          <w:color w:val="000000" w:themeColor="text1"/>
        </w:rPr>
        <w:t>4. Выводы по результатам рассмотрения</w:t>
      </w:r>
    </w:p>
    <w:p>
      <w:pPr>
        <w:pStyle w:val="Normal"/>
        <w:widowControl/>
        <w:spacing w:beforeAutospacing="1" w:afterAutospacing="1"/>
        <w:ind w:right="-1" w:hanging="0"/>
        <w:rPr>
          <w:rFonts w:eastAsia="Times New Roman"/>
          <w:b/>
          <w:b/>
          <w:color w:val="000000" w:themeColor="text1"/>
        </w:rPr>
      </w:pPr>
      <w:r>
        <w:rPr>
          <w:rFonts w:eastAsia="Times New Roman"/>
          <w:b/>
          <w:color w:val="000000" w:themeColor="text1"/>
        </w:rPr>
        <w:t>4.1. Выводы о соответствии или несоответствии в отношении рассмотренных разделов инженерных изысканий. Каждый вывод о несоответствии должен быть мотивирован и содержать ссылку на конкретный нормативный акт и (или) документ, его раздел, статью, пункт и т.д.</w:t>
      </w:r>
    </w:p>
    <w:p>
      <w:pPr>
        <w:pStyle w:val="Normal"/>
        <w:ind w:right="-1" w:firstLine="709"/>
        <w:rPr>
          <w:b/>
          <w:b/>
          <w:color w:val="000000" w:themeColor="text1"/>
        </w:rPr>
      </w:pPr>
      <w:r>
        <w:rPr>
          <w:b/>
          <w:color w:val="000000" w:themeColor="text1"/>
        </w:rPr>
        <w:t>Инженерно-геологические изыскания.</w:t>
      </w:r>
    </w:p>
    <w:p>
      <w:pPr>
        <w:pStyle w:val="Normal"/>
        <w:ind w:right="-1" w:firstLine="709"/>
        <w:rPr>
          <w:b/>
          <w:b/>
          <w:color w:val="000000" w:themeColor="text1"/>
        </w:rPr>
      </w:pPr>
      <w:r>
        <w:rPr>
          <w:b/>
          <w:color w:val="000000" w:themeColor="text1"/>
        </w:rPr>
      </w:r>
    </w:p>
    <w:p>
      <w:pPr>
        <w:pStyle w:val="Normal"/>
        <w:ind w:right="-1" w:firstLine="709"/>
        <w:rPr>
          <w:color w:val="000000" w:themeColor="text1"/>
        </w:rPr>
      </w:pPr>
      <w:r>
        <w:rPr>
          <w:rFonts w:eastAsia="Times New Roman"/>
          <w:color w:val="000000" w:themeColor="text1"/>
        </w:rPr>
        <w:t xml:space="preserve">Результаты инженерно-геологических изысканий </w:t>
      </w:r>
      <w:r>
        <w:rPr>
          <w:rStyle w:val="FontStyle19"/>
          <w:color w:val="000000" w:themeColor="text1"/>
        </w:rPr>
        <w:t xml:space="preserve">по объекту: </w:t>
      </w:r>
      <w:r>
        <w:rPr>
          <w:color w:val="000000" w:themeColor="text1"/>
        </w:rPr>
        <w:t xml:space="preserve">«Многоквартирные многоэтажные  жилые дома со встроенно-пристроенными помещениями делового, культурного и обслуживающего назначения по ул. Юбилейной в Автозаводском районе г. Тольятти. Позиция 4. 1 этап строительства, 2 этап строительства» </w:t>
      </w:r>
      <w:r>
        <w:rPr>
          <w:rFonts w:eastAsia="Times New Roman"/>
          <w:b/>
          <w:i/>
          <w:color w:val="000000" w:themeColor="text1"/>
        </w:rPr>
        <w:t>соответствуют</w:t>
      </w:r>
      <w:r>
        <w:rPr>
          <w:rFonts w:eastAsia="Times New Roman"/>
          <w:color w:val="000000" w:themeColor="text1"/>
        </w:rPr>
        <w:t xml:space="preserve"> требованиям </w:t>
      </w:r>
      <w:r>
        <w:rPr>
          <w:rFonts w:eastAsia="Times New Roman"/>
          <w:iCs/>
          <w:color w:val="000000" w:themeColor="text1"/>
        </w:rPr>
        <w:t>технических регламентов, заданию на проведение инженерно-геологических изысканий</w:t>
      </w:r>
      <w:r>
        <w:rPr>
          <w:rFonts w:eastAsia="Times New Roman"/>
          <w:color w:val="000000" w:themeColor="text1"/>
        </w:rPr>
        <w:t>.</w:t>
      </w:r>
    </w:p>
    <w:p>
      <w:pPr>
        <w:pStyle w:val="Normal"/>
        <w:widowControl/>
        <w:ind w:right="-1" w:firstLine="709"/>
        <w:rPr>
          <w:rFonts w:eastAsia="Times New Roman"/>
          <w:color w:val="000000" w:themeColor="text1"/>
          <w:highlight w:val="yellow"/>
        </w:rPr>
      </w:pPr>
      <w:r>
        <w:rPr>
          <w:rFonts w:eastAsia="Times New Roman"/>
          <w:color w:val="000000" w:themeColor="text1"/>
          <w:highlight w:val="yellow"/>
        </w:rPr>
      </w:r>
    </w:p>
    <w:p>
      <w:pPr>
        <w:pStyle w:val="Normal"/>
        <w:widowControl/>
        <w:ind w:right="-1" w:firstLine="709"/>
        <w:rPr>
          <w:rFonts w:eastAsia="Times New Roman"/>
          <w:b/>
          <w:b/>
          <w:color w:val="000000" w:themeColor="text1"/>
          <w:highlight w:val="yellow"/>
        </w:rPr>
      </w:pPr>
      <w:r>
        <w:rPr>
          <w:rFonts w:eastAsia="Times New Roman"/>
          <w:b/>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4.2. Выводы о соответствии или несоответствии в отношении рассмотренных разделов проектной документации. Каждый вывод о несоответствии должен быть мотивирован и содержать ссылку на конкретный нормативный акт и (или) документ, его раздел, статью, пункт и т.д. или содержать ссылку на соответствующие результаты инженерных изысканий</w:t>
      </w:r>
    </w:p>
    <w:p>
      <w:pPr>
        <w:pStyle w:val="Normal"/>
        <w:widowControl/>
        <w:ind w:right="-1" w:firstLine="709"/>
        <w:rPr>
          <w:rFonts w:eastAsia="Times New Roman"/>
          <w:b/>
          <w:b/>
          <w:color w:val="000000" w:themeColor="text1"/>
        </w:rPr>
      </w:pPr>
      <w:r>
        <w:rPr>
          <w:rFonts w:eastAsia="Times New Roman"/>
          <w:b/>
          <w:color w:val="000000" w:themeColor="text1"/>
        </w:rPr>
      </w:r>
    </w:p>
    <w:p>
      <w:pPr>
        <w:pStyle w:val="Normal"/>
        <w:ind w:right="-1" w:firstLine="709"/>
        <w:rPr>
          <w:rFonts w:eastAsia="Times New Roman"/>
          <w:iCs/>
          <w:color w:val="000000" w:themeColor="text1"/>
        </w:rPr>
      </w:pPr>
      <w:r>
        <w:rPr>
          <w:rFonts w:eastAsia="Times New Roman"/>
          <w:color w:val="000000" w:themeColor="text1"/>
        </w:rPr>
        <w:t xml:space="preserve">4.2.1. Схема планировочной организации земельного участка (генеральный план) </w:t>
      </w:r>
      <w:r>
        <w:rPr>
          <w:rFonts w:eastAsia="Times New Roman"/>
          <w:b/>
          <w:i/>
          <w:color w:val="000000" w:themeColor="text1"/>
        </w:rPr>
        <w:t>соответствует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заданию на проектирование.</w:t>
      </w:r>
    </w:p>
    <w:p>
      <w:pPr>
        <w:pStyle w:val="Normal"/>
        <w:ind w:right="-1" w:firstLine="709"/>
        <w:rPr>
          <w:rFonts w:eastAsia="Times New Roman"/>
          <w:iCs/>
          <w:color w:val="000000" w:themeColor="text1"/>
        </w:rPr>
      </w:pPr>
      <w:r>
        <w:rPr>
          <w:color w:val="000000" w:themeColor="text1"/>
        </w:rPr>
        <w:t>4.2.2. Архитектурные решения</w:t>
      </w:r>
      <w:r>
        <w:rPr>
          <w:rFonts w:eastAsia="Times New Roman"/>
          <w:b/>
          <w:i/>
          <w:color w:val="000000" w:themeColor="text1"/>
        </w:rPr>
        <w:t xml:space="preserve"> соответствуют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заданию на проектирование.</w:t>
      </w:r>
    </w:p>
    <w:p>
      <w:pPr>
        <w:pStyle w:val="Normal"/>
        <w:ind w:right="-1" w:firstLine="709"/>
        <w:rPr>
          <w:rFonts w:eastAsia="Times New Roman"/>
          <w:iCs/>
          <w:color w:val="000000" w:themeColor="text1"/>
        </w:rPr>
      </w:pPr>
      <w:r>
        <w:rPr>
          <w:color w:val="000000" w:themeColor="text1"/>
        </w:rPr>
        <w:t xml:space="preserve">4.2.3 </w:t>
      </w:r>
      <w:r>
        <w:rPr>
          <w:bCs/>
          <w:color w:val="000000" w:themeColor="text1"/>
        </w:rPr>
        <w:t>Конструктивные решения</w:t>
      </w:r>
      <w:r>
        <w:rPr>
          <w:rFonts w:eastAsia="Times New Roman"/>
          <w:b/>
          <w:i/>
          <w:color w:val="000000" w:themeColor="text1"/>
        </w:rPr>
        <w:t xml:space="preserve"> соответствуют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результатам инженерных изысканий, заданию на проектирование.</w:t>
      </w:r>
    </w:p>
    <w:p>
      <w:pPr>
        <w:pStyle w:val="Normal"/>
        <w:ind w:right="-1" w:firstLine="709"/>
        <w:rPr>
          <w:rFonts w:eastAsia="Times New Roman"/>
          <w:iCs/>
          <w:color w:val="000000" w:themeColor="text1"/>
        </w:rPr>
      </w:pPr>
      <w:r>
        <w:rPr>
          <w:rFonts w:eastAsia="Times New Roman"/>
          <w:color w:val="000000" w:themeColor="text1"/>
        </w:rPr>
        <w:t>4.2.4. Система электроснабжения</w:t>
      </w:r>
      <w:r>
        <w:rPr>
          <w:rFonts w:eastAsia="Times New Roman"/>
          <w:b/>
          <w:i/>
          <w:color w:val="000000" w:themeColor="text1"/>
        </w:rPr>
        <w:t xml:space="preserve"> соответствует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заданию на проектирование.</w:t>
      </w:r>
    </w:p>
    <w:p>
      <w:pPr>
        <w:pStyle w:val="Normal"/>
        <w:ind w:right="-1" w:firstLine="709"/>
        <w:rPr>
          <w:rFonts w:eastAsia="Times New Roman"/>
          <w:iCs/>
          <w:color w:val="000000" w:themeColor="text1"/>
        </w:rPr>
      </w:pPr>
      <w:r>
        <w:rPr>
          <w:rFonts w:eastAsia="Times New Roman"/>
          <w:color w:val="000000" w:themeColor="text1"/>
        </w:rPr>
        <w:t>4.2.5. Система водоснабжения</w:t>
      </w:r>
      <w:r>
        <w:rPr>
          <w:rFonts w:eastAsia="Times New Roman"/>
          <w:b/>
          <w:i/>
          <w:color w:val="000000" w:themeColor="text1"/>
        </w:rPr>
        <w:t xml:space="preserve"> соответствует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результатам инженерных изысканий, заданию на проектирование.</w:t>
      </w:r>
    </w:p>
    <w:p>
      <w:pPr>
        <w:pStyle w:val="Normal"/>
        <w:ind w:right="-1" w:firstLine="709"/>
        <w:rPr>
          <w:rFonts w:eastAsia="Times New Roman"/>
          <w:iCs/>
          <w:color w:val="000000" w:themeColor="text1"/>
        </w:rPr>
      </w:pPr>
      <w:r>
        <w:rPr>
          <w:rFonts w:eastAsia="Times New Roman"/>
          <w:color w:val="000000" w:themeColor="text1"/>
        </w:rPr>
        <w:t>4.2.6. Система водоотведения</w:t>
      </w:r>
      <w:r>
        <w:rPr>
          <w:rFonts w:eastAsia="Times New Roman"/>
          <w:b/>
          <w:i/>
          <w:color w:val="000000" w:themeColor="text1"/>
        </w:rPr>
        <w:t xml:space="preserve"> соответствует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результатам инженерных изысканий, заданию на проектирование.</w:t>
      </w:r>
    </w:p>
    <w:p>
      <w:pPr>
        <w:pStyle w:val="Normal"/>
        <w:ind w:right="-1" w:firstLine="709"/>
        <w:rPr>
          <w:rFonts w:eastAsia="Times New Roman"/>
          <w:iCs/>
          <w:color w:val="000000" w:themeColor="text1"/>
        </w:rPr>
      </w:pPr>
      <w:r>
        <w:rPr>
          <w:rFonts w:eastAsia="Times New Roman"/>
          <w:color w:val="000000" w:themeColor="text1"/>
        </w:rPr>
        <w:t>4.2.7. Отопление, вентиляция и кондиционирование воздуха, тепловые сети</w:t>
      </w:r>
      <w:r>
        <w:rPr>
          <w:rFonts w:eastAsia="Times New Roman"/>
          <w:b/>
          <w:i/>
          <w:color w:val="000000" w:themeColor="text1"/>
        </w:rPr>
        <w:t xml:space="preserve"> соответствуют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заданию на проектирование.</w:t>
      </w:r>
    </w:p>
    <w:p>
      <w:pPr>
        <w:pStyle w:val="Normal"/>
        <w:ind w:right="-1" w:firstLine="709"/>
        <w:rPr>
          <w:rFonts w:eastAsia="Times New Roman"/>
          <w:iCs/>
          <w:color w:val="000000" w:themeColor="text1"/>
        </w:rPr>
      </w:pPr>
      <w:r>
        <w:rPr>
          <w:rFonts w:eastAsia="Times New Roman"/>
          <w:color w:val="000000" w:themeColor="text1"/>
        </w:rPr>
        <w:t>4.2.8. Сети связи и автоматизации</w:t>
      </w:r>
      <w:r>
        <w:rPr>
          <w:rFonts w:eastAsia="Times New Roman"/>
          <w:b/>
          <w:i/>
          <w:color w:val="000000" w:themeColor="text1"/>
        </w:rPr>
        <w:t xml:space="preserve"> соответствуют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результатам инженерных изысканий, заданию на проектирование.</w:t>
      </w:r>
    </w:p>
    <w:p>
      <w:pPr>
        <w:pStyle w:val="Normal"/>
        <w:ind w:right="-1" w:firstLine="709"/>
        <w:rPr>
          <w:rFonts w:eastAsia="Times New Roman"/>
          <w:iCs/>
          <w:color w:val="000000" w:themeColor="text1"/>
        </w:rPr>
      </w:pPr>
      <w:r>
        <w:rPr>
          <w:rFonts w:eastAsia="Times New Roman"/>
          <w:color w:val="000000" w:themeColor="text1"/>
        </w:rPr>
        <w:t>4.2.9. Проект организации строительства</w:t>
      </w:r>
      <w:r>
        <w:rPr>
          <w:rFonts w:eastAsia="Times New Roman"/>
          <w:b/>
          <w:i/>
          <w:color w:val="000000" w:themeColor="text1"/>
        </w:rPr>
        <w:t xml:space="preserve"> соответствует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заданию на проектирование.</w:t>
      </w:r>
    </w:p>
    <w:p>
      <w:pPr>
        <w:pStyle w:val="Normal"/>
        <w:ind w:right="-1" w:firstLine="709"/>
        <w:rPr>
          <w:rFonts w:eastAsia="Times New Roman"/>
          <w:iCs/>
          <w:color w:val="000000" w:themeColor="text1"/>
        </w:rPr>
      </w:pPr>
      <w:r>
        <w:rPr>
          <w:rFonts w:eastAsia="Times New Roman"/>
          <w:color w:val="000000" w:themeColor="text1"/>
        </w:rPr>
        <w:t>4.2.10. Перечень мероприятий по охране окружающей среды</w:t>
      </w:r>
      <w:r>
        <w:rPr>
          <w:rFonts w:eastAsia="Times New Roman"/>
          <w:b/>
          <w:i/>
          <w:color w:val="000000" w:themeColor="text1"/>
        </w:rPr>
        <w:t xml:space="preserve"> соответствует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заданию на проектирование.</w:t>
      </w:r>
    </w:p>
    <w:p>
      <w:pPr>
        <w:pStyle w:val="Normal"/>
        <w:ind w:right="-1" w:firstLine="709"/>
        <w:rPr>
          <w:rFonts w:eastAsia="Times New Roman"/>
          <w:iCs/>
          <w:color w:val="000000" w:themeColor="text1"/>
        </w:rPr>
      </w:pPr>
      <w:r>
        <w:rPr>
          <w:rFonts w:eastAsia="Times New Roman"/>
          <w:color w:val="000000" w:themeColor="text1"/>
        </w:rPr>
        <w:t>4.2.11. Мероприятия по обеспечению пожарной безопасности</w:t>
      </w:r>
      <w:r>
        <w:rPr>
          <w:rFonts w:eastAsia="Times New Roman"/>
          <w:b/>
          <w:i/>
          <w:color w:val="000000" w:themeColor="text1"/>
        </w:rPr>
        <w:t xml:space="preserve"> соответствуют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заданию на проектирование.</w:t>
      </w:r>
    </w:p>
    <w:p>
      <w:pPr>
        <w:pStyle w:val="Normal"/>
        <w:widowControl/>
        <w:ind w:right="-1" w:firstLine="709"/>
        <w:rPr>
          <w:rFonts w:eastAsia="Times New Roman"/>
          <w:iCs/>
          <w:color w:val="000000" w:themeColor="text1"/>
        </w:rPr>
      </w:pPr>
      <w:r>
        <w:rPr>
          <w:rFonts w:eastAsia="Times New Roman"/>
          <w:color w:val="000000" w:themeColor="text1"/>
        </w:rPr>
        <w:t>4.2.13. Мероприятия по обеспечению соблюдения требований энергетической эффективности и требований оснащенности зданий, строений и сооружений приборами учета используемых энергетических ресурсов</w:t>
      </w:r>
      <w:r>
        <w:rPr>
          <w:rFonts w:eastAsia="Times New Roman"/>
          <w:b/>
          <w:i/>
          <w:color w:val="000000" w:themeColor="text1"/>
        </w:rPr>
        <w:t xml:space="preserve"> соответствуют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заданию на проектирование.</w:t>
      </w:r>
    </w:p>
    <w:p>
      <w:pPr>
        <w:pStyle w:val="Normal"/>
        <w:widowControl/>
        <w:ind w:right="-1" w:firstLine="709"/>
        <w:rPr>
          <w:rFonts w:eastAsia="Times New Roman"/>
          <w:iCs/>
          <w:color w:val="000000" w:themeColor="text1"/>
        </w:rPr>
      </w:pPr>
      <w:r>
        <w:rPr>
          <w:rFonts w:eastAsia="Times New Roman"/>
          <w:iCs/>
          <w:color w:val="000000" w:themeColor="text1"/>
        </w:rPr>
        <w:t xml:space="preserve">4.2.14. </w:t>
      </w:r>
      <w:r>
        <w:rPr>
          <w:rFonts w:eastAsia="Times New Roman"/>
          <w:color w:val="000000" w:themeColor="text1"/>
        </w:rPr>
        <w:t xml:space="preserve">Мероприятия по обеспечению доступа инвалидов </w:t>
      </w:r>
      <w:r>
        <w:rPr>
          <w:rFonts w:eastAsia="Times New Roman"/>
          <w:b/>
          <w:i/>
          <w:color w:val="000000" w:themeColor="text1"/>
        </w:rPr>
        <w:t>соответствуют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заданию на проектирование.</w:t>
      </w:r>
    </w:p>
    <w:p>
      <w:pPr>
        <w:pStyle w:val="Normal"/>
        <w:widowControl/>
        <w:ind w:right="-1" w:firstLine="709"/>
        <w:rPr>
          <w:rFonts w:eastAsia="Times New Roman"/>
          <w:iCs/>
          <w:color w:val="000000" w:themeColor="text1"/>
        </w:rPr>
      </w:pPr>
      <w:r>
        <w:rPr>
          <w:rFonts w:eastAsia="Times New Roman"/>
          <w:iCs/>
          <w:color w:val="000000" w:themeColor="text1"/>
        </w:rPr>
      </w:r>
    </w:p>
    <w:p>
      <w:pPr>
        <w:pStyle w:val="Normal"/>
        <w:ind w:right="-1" w:firstLine="709"/>
        <w:rPr>
          <w:color w:val="000000" w:themeColor="text1"/>
          <w:highlight w:val="yellow"/>
        </w:rPr>
      </w:pPr>
      <w:r>
        <w:rPr>
          <w:color w:val="000000" w:themeColor="text1"/>
          <w:highlight w:val="yellow"/>
        </w:rPr>
      </w:r>
    </w:p>
    <w:p>
      <w:pPr>
        <w:pStyle w:val="Normal"/>
        <w:widowControl/>
        <w:ind w:right="-1" w:hanging="0"/>
        <w:rPr>
          <w:rFonts w:eastAsia="Times New Roman"/>
          <w:b/>
          <w:b/>
          <w:color w:val="000000" w:themeColor="text1"/>
        </w:rPr>
      </w:pPr>
      <w:r>
        <w:rPr>
          <w:rFonts w:eastAsia="Times New Roman"/>
          <w:b/>
          <w:color w:val="000000" w:themeColor="text1"/>
        </w:rPr>
        <w:t>4.3. Общие выводы о соответствии или несоответствии объекта негосударственной экспертизы требованиям, установленным при оценке соответствия</w:t>
      </w:r>
    </w:p>
    <w:p>
      <w:pPr>
        <w:pStyle w:val="Normal"/>
        <w:widowControl/>
        <w:ind w:right="-1" w:firstLine="709"/>
        <w:rPr>
          <w:rFonts w:eastAsia="Times New Roman"/>
          <w:b/>
          <w:b/>
          <w:color w:val="000000" w:themeColor="text1"/>
        </w:rPr>
      </w:pPr>
      <w:r>
        <w:rPr>
          <w:rFonts w:eastAsia="Times New Roman"/>
          <w:b/>
          <w:color w:val="000000" w:themeColor="text1"/>
        </w:rPr>
      </w:r>
    </w:p>
    <w:p>
      <w:pPr>
        <w:pStyle w:val="Normal"/>
        <w:ind w:right="-1" w:firstLine="709"/>
        <w:rPr>
          <w:rFonts w:ascii="Times New Roman CYR" w:hAnsi="Times New Roman CYR" w:eastAsia="Times New Roman CYR" w:cs="Times New Roman CYR"/>
          <w:bCs/>
          <w:color w:val="000000" w:themeColor="text1"/>
        </w:rPr>
      </w:pPr>
      <w:r>
        <w:rPr>
          <w:rFonts w:eastAsia="Times New Roman"/>
          <w:color w:val="000000" w:themeColor="text1"/>
        </w:rPr>
        <w:t xml:space="preserve">Результаты инженерно-геологических изысканий и проектная документация  по объекту: </w:t>
      </w:r>
      <w:r>
        <w:rPr>
          <w:color w:val="000000" w:themeColor="text1"/>
        </w:rPr>
        <w:t>«Многоквартирные многоэтажные  жилые дома со встроенно-пристроенными помещениями делового, культурного и обслуживающего назначения по ул. Юбилейной в Автозаводском районе г. Тольятти. Позиция 4. 1 этап строительства, 2 этап строительства»</w:t>
      </w:r>
      <w:r>
        <w:rPr>
          <w:rFonts w:eastAsia="Times New Roman"/>
          <w:b/>
          <w:color w:val="000000" w:themeColor="text1"/>
        </w:rPr>
        <w:t xml:space="preserve"> соответствуют</w:t>
      </w:r>
      <w:r>
        <w:rPr>
          <w:rFonts w:eastAsia="Times New Roman"/>
          <w:color w:val="000000" w:themeColor="text1"/>
        </w:rPr>
        <w:t xml:space="preserve"> требованиям </w:t>
      </w:r>
      <w:r>
        <w:rPr>
          <w:rFonts w:eastAsia="Times New Roman"/>
          <w:iCs/>
          <w:color w:val="000000" w:themeColor="text1"/>
        </w:rPr>
        <w:t>технических регламентов, градостроительных регламентов, градостроительному плану земельного участка, национальным стандартам, результатам инженерно-геологических изысканий, заданию на проектирование, заданию на выполнение инженерно-геологических изысканий</w:t>
      </w:r>
      <w:r>
        <w:rPr>
          <w:rFonts w:eastAsia="Times New Roman"/>
          <w:color w:val="000000" w:themeColor="text1"/>
        </w:rPr>
        <w:t>.</w:t>
      </w:r>
    </w:p>
    <w:p>
      <w:pPr>
        <w:pStyle w:val="Normal"/>
        <w:widowControl/>
        <w:ind w:right="-1" w:firstLine="709"/>
        <w:rPr>
          <w:rFonts w:eastAsia="Times New Roman"/>
          <w:color w:val="000000" w:themeColor="text1"/>
        </w:rPr>
      </w:pPr>
      <w:r>
        <w:rPr>
          <w:rFonts w:eastAsia="Times New Roman"/>
          <w:color w:val="000000" w:themeColor="text1"/>
        </w:rPr>
        <w:t xml:space="preserve">Соответствие проектной документации действующим нормам и правилам проектирования удостоверено подписью главного инженера проекта </w:t>
      </w:r>
      <w:r>
        <w:rPr>
          <w:rStyle w:val="FontStyle19"/>
          <w:bCs/>
          <w:color w:val="000000" w:themeColor="text1"/>
        </w:rPr>
        <w:t>Васильевой И.В.</w:t>
      </w:r>
    </w:p>
    <w:p>
      <w:pPr>
        <w:pStyle w:val="Normal"/>
        <w:widowControl/>
        <w:ind w:right="-1" w:firstLine="709"/>
        <w:rPr>
          <w:rFonts w:eastAsia="Times New Roman"/>
          <w:color w:val="000000" w:themeColor="text1"/>
        </w:rPr>
      </w:pPr>
      <w:r>
        <w:rPr>
          <w:rFonts w:eastAsia="Times New Roman"/>
          <w:color w:val="000000" w:themeColor="text1"/>
        </w:rPr>
        <w:t>Проектная документация рекомендуется к утверждению для реализации в установленном порядке с основными технико-экономическими показателями:</w:t>
      </w:r>
    </w:p>
    <w:p>
      <w:pPr>
        <w:pStyle w:val="Normal"/>
        <w:widowControl/>
        <w:ind w:right="-1" w:firstLine="709"/>
        <w:rPr>
          <w:rFonts w:eastAsia="Times New Roman"/>
          <w:color w:val="000000" w:themeColor="text1"/>
        </w:rPr>
      </w:pPr>
      <w:r>
        <w:rPr>
          <w:rFonts w:eastAsia="Times New Roman"/>
          <w:color w:val="000000" w:themeColor="text1"/>
        </w:rPr>
      </w:r>
    </w:p>
    <w:tbl>
      <w:tblPr>
        <w:tblW w:w="10031"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Look w:firstRow="1" w:noVBand="0" w:lastRow="0" w:firstColumn="1" w:lastColumn="0" w:noHBand="0" w:val="00a0"/>
      </w:tblPr>
      <w:tblGrid>
        <w:gridCol w:w="5093"/>
        <w:gridCol w:w="1189"/>
        <w:gridCol w:w="1116"/>
        <w:gridCol w:w="1397"/>
        <w:gridCol w:w="1"/>
        <w:gridCol w:w="1235"/>
      </w:tblGrid>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Наименование</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Ед.изм.</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1 этап</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lang w:eastAsia="ar-SA"/>
              </w:rPr>
            </w:pPr>
            <w:r>
              <w:rPr>
                <w:lang w:eastAsia="ar-SA"/>
              </w:rPr>
              <w:t>2 этап</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lang w:eastAsia="ar-SA"/>
              </w:rPr>
            </w:pPr>
            <w:r>
              <w:rPr>
                <w:lang w:eastAsia="ar-SA"/>
              </w:rPr>
              <w:t>Всего</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Площадь участка в границах землеотвода</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м</w:t>
            </w:r>
            <w:r>
              <w:rPr>
                <w:vertAlign w:val="superscript"/>
                <w:lang w:eastAsia="ar-SA"/>
              </w:rPr>
              <w:t>2</w:t>
            </w:r>
          </w:p>
        </w:tc>
        <w:tc>
          <w:tcPr>
            <w:tcW w:w="2513"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13895</w:t>
            </w:r>
          </w:p>
        </w:tc>
        <w:tc>
          <w:tcPr>
            <w:tcW w:w="1236"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13895</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lang w:eastAsia="ar-SA"/>
              </w:rPr>
            </w:pPr>
            <w:r>
              <w:rPr>
                <w:lang w:eastAsia="ar-SA"/>
              </w:rPr>
              <w:t>В т.ч. площадь земельного участка по этапам</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vertAlign w:val="superscript"/>
                <w:lang w:eastAsia="ar-SA"/>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7430</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6465</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13895</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Площадь застройки</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2008</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2133,63</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4141,63</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Общая площадь здания</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14982,15</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16303,13</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31285,28</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Общая жилая площадь (при наличии)</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11395,28</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9995,49</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21390,77</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lang w:eastAsia="ar-SA"/>
              </w:rPr>
            </w:pPr>
            <w:r>
              <w:rPr>
                <w:lang w:eastAsia="ar-SA"/>
              </w:rPr>
              <w:t>Нежилая площадь:</w:t>
            </w:r>
          </w:p>
          <w:p>
            <w:pPr>
              <w:pStyle w:val="Normal"/>
              <w:suppressAutoHyphens w:val="true"/>
              <w:ind w:hanging="0"/>
              <w:rPr>
                <w:lang w:eastAsia="ar-SA"/>
              </w:rPr>
            </w:pPr>
            <w:r>
              <w:rPr>
                <w:lang w:eastAsia="ar-SA"/>
              </w:rPr>
              <w:t>встроенно-пристроенных нежилых помещений</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lang w:eastAsia="ar-SA"/>
              </w:rPr>
            </w:pPr>
            <w:r>
              <w:rPr>
                <w:lang w:eastAsia="ar-SA"/>
              </w:rPr>
              <w:t>м</w:t>
            </w:r>
            <w:r>
              <w:rPr>
                <w:vertAlign w:val="superscript"/>
                <w:lang w:eastAsia="ar-SA"/>
              </w:rPr>
              <w:t>2</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2009,01</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2009,01</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lang w:eastAsia="ar-SA"/>
              </w:rPr>
            </w:pPr>
            <w:r>
              <w:rPr>
                <w:lang w:eastAsia="ar-SA"/>
              </w:rPr>
              <w:t>Строительный объем, в т.ч.</w:t>
            </w:r>
          </w:p>
          <w:p>
            <w:pPr>
              <w:pStyle w:val="Normal"/>
              <w:suppressAutoHyphens w:val="true"/>
              <w:ind w:hanging="0"/>
              <w:rPr/>
            </w:pPr>
            <w:r>
              <w:rPr>
                <w:lang w:eastAsia="ar-SA"/>
              </w:rPr>
              <w:t>подземной части</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vertAlign w:val="superscript"/>
              </w:rPr>
            </w:pPr>
            <w:r>
              <w:rPr>
                <w:lang w:eastAsia="ar-SA"/>
              </w:rPr>
              <w:t>м</w:t>
            </w:r>
            <w:r>
              <w:rPr>
                <w:vertAlign w:val="superscript"/>
                <w:lang w:eastAsia="ar-SA"/>
              </w:rPr>
              <w:t>3</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58702</w:t>
            </w:r>
          </w:p>
          <w:p>
            <w:pPr>
              <w:pStyle w:val="Normal"/>
              <w:suppressAutoHyphens w:val="true"/>
              <w:ind w:hanging="0"/>
              <w:jc w:val="center"/>
              <w:rPr/>
            </w:pPr>
            <w:r>
              <w:rPr/>
              <w:t>4132</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48318,19</w:t>
            </w:r>
          </w:p>
          <w:p>
            <w:pPr>
              <w:pStyle w:val="Normal"/>
              <w:suppressAutoHyphens w:val="true"/>
              <w:ind w:hanging="0"/>
              <w:jc w:val="center"/>
              <w:rPr/>
            </w:pPr>
            <w:r>
              <w:rPr/>
              <w:t>5655,65</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107020,19</w:t>
            </w:r>
          </w:p>
          <w:p>
            <w:pPr>
              <w:pStyle w:val="Normal"/>
              <w:suppressAutoHyphens w:val="true"/>
              <w:ind w:hanging="0"/>
              <w:jc w:val="center"/>
              <w:rPr/>
            </w:pPr>
            <w:r>
              <w:rPr/>
              <w:t>9787,65</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Кол-во этажей</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lang w:eastAsia="ar-SA"/>
              </w:rPr>
              <w:t>этаж</w:t>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10</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 xml:space="preserve">10-17-жилые, </w:t>
            </w:r>
          </w:p>
          <w:p>
            <w:pPr>
              <w:pStyle w:val="Normal"/>
              <w:suppressAutoHyphens w:val="true"/>
              <w:ind w:hanging="0"/>
              <w:jc w:val="center"/>
              <w:rPr/>
            </w:pPr>
            <w:r>
              <w:rPr/>
              <w:t>3-нежилое</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r>
          </w:p>
          <w:p>
            <w:pPr>
              <w:pStyle w:val="Normal"/>
              <w:suppressAutoHyphens w:val="true"/>
              <w:ind w:hanging="0"/>
              <w:jc w:val="center"/>
              <w:rPr/>
            </w:pPr>
            <w:r>
              <w:rPr/>
              <w:t>х</w:t>
            </w:r>
          </w:p>
        </w:tc>
      </w:tr>
      <w:tr>
        <w:trPr/>
        <w:tc>
          <w:tcPr>
            <w:tcW w:w="50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rPr/>
            </w:pPr>
            <w:r>
              <w:rPr>
                <w:lang w:eastAsia="ar-SA"/>
              </w:rPr>
              <w:t>Кол-во квартир (при наличии)</w:t>
            </w:r>
          </w:p>
        </w:tc>
        <w:tc>
          <w:tcPr>
            <w:tcW w:w="11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uppressAutoHyphens w:val="true"/>
              <w:ind w:hanging="0"/>
              <w:jc w:val="center"/>
              <w:rPr/>
            </w:pPr>
            <w:r>
              <w:rPr/>
            </w:r>
          </w:p>
        </w:tc>
        <w:tc>
          <w:tcPr>
            <w:tcW w:w="111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188</w:t>
            </w:r>
          </w:p>
        </w:tc>
        <w:tc>
          <w:tcPr>
            <w:tcW w:w="1398"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164</w:t>
            </w:r>
          </w:p>
        </w:tc>
        <w:tc>
          <w:tcPr>
            <w:tcW w:w="123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uppressAutoHyphens w:val="true"/>
              <w:ind w:hanging="0"/>
              <w:jc w:val="center"/>
              <w:rPr/>
            </w:pPr>
            <w:r>
              <w:rPr/>
              <w:t>352</w:t>
            </w:r>
          </w:p>
        </w:tc>
      </w:tr>
    </w:tbl>
    <w:p>
      <w:pPr>
        <w:pStyle w:val="Normal"/>
        <w:widowControl/>
        <w:ind w:left="-567" w:right="141" w:firstLine="709"/>
        <w:rPr>
          <w:rFonts w:eastAsia="Times New Roman"/>
          <w:color w:val="000000" w:themeColor="text1"/>
        </w:rPr>
      </w:pPr>
      <w:r>
        <w:rPr>
          <w:rFonts w:eastAsia="Times New Roman"/>
          <w:color w:val="000000" w:themeColor="text1"/>
        </w:rPr>
      </w:r>
    </w:p>
    <w:p>
      <w:pPr>
        <w:pStyle w:val="Normal"/>
        <w:widowControl/>
        <w:ind w:left="-567" w:right="141" w:firstLine="709"/>
        <w:rPr>
          <w:rFonts w:eastAsia="Times New Roman"/>
          <w:color w:val="000000" w:themeColor="text1"/>
        </w:rPr>
      </w:pPr>
      <w:r>
        <w:rPr>
          <w:rFonts w:eastAsia="Times New Roman"/>
          <w:color w:val="000000" w:themeColor="text1"/>
        </w:rPr>
      </w:r>
    </w:p>
    <w:p>
      <w:pPr>
        <w:pStyle w:val="Normal"/>
        <w:widowControl/>
        <w:ind w:right="141" w:hanging="0"/>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right="141" w:hanging="0"/>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hanging="0"/>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drawing>
          <wp:anchor behindDoc="0" distT="0" distB="0" distL="0" distR="0" simplePos="0" locked="0" layoutInCell="1" allowOverlap="1" relativeHeight="8">
            <wp:simplePos x="0" y="0"/>
            <wp:positionH relativeFrom="column">
              <wp:posOffset>-188595</wp:posOffset>
            </wp:positionH>
            <wp:positionV relativeFrom="paragraph">
              <wp:posOffset>47625</wp:posOffset>
            </wp:positionV>
            <wp:extent cx="6750685" cy="9291955"/>
            <wp:effectExtent l="0" t="0" r="0" b="0"/>
            <wp:wrapSquare wrapText="largest"/>
            <wp:docPr id="7"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2" descr=""/>
                    <pic:cNvPicPr>
                      <a:picLocks noChangeAspect="1" noChangeArrowheads="1"/>
                    </pic:cNvPicPr>
                  </pic:nvPicPr>
                  <pic:blipFill>
                    <a:blip r:embed="rId3"/>
                    <a:stretch>
                      <a:fillRect/>
                    </a:stretch>
                  </pic:blipFill>
                  <pic:spPr bwMode="auto">
                    <a:xfrm>
                      <a:off x="0" y="0"/>
                      <a:ext cx="6750685" cy="9291955"/>
                    </a:xfrm>
                    <a:prstGeom prst="rect">
                      <a:avLst/>
                    </a:prstGeom>
                  </pic:spPr>
                </pic:pic>
              </a:graphicData>
            </a:graphic>
          </wp:anchor>
        </w:drawing>
      </w:r>
    </w:p>
    <w:p>
      <w:pPr>
        <w:pStyle w:val="Normal"/>
        <w:widowControl/>
        <w:ind w:left="-567" w:right="141" w:firstLine="709"/>
        <w:jc w:val="center"/>
        <w:rPr>
          <w:rFonts w:eastAsia="Times New Roman"/>
          <w:b/>
          <w:b/>
          <w:color w:val="000000" w:themeColor="text1"/>
          <w:highlight w:val="yellow"/>
        </w:rPr>
      </w:pPr>
      <w:r>
        <w:rPr>
          <w:rFonts w:eastAsia="Times New Roman"/>
          <w:b/>
          <w:color w:val="000000" w:themeColor="text1"/>
          <w:highlight w:val="yellow"/>
        </w:rPr>
      </w:r>
    </w:p>
    <w:p>
      <w:pPr>
        <w:pStyle w:val="Normal"/>
        <w:widowControl/>
        <w:ind w:right="141" w:hanging="0"/>
        <w:jc w:val="center"/>
        <w:rPr>
          <w:rFonts w:eastAsia="Times New Roman"/>
          <w:b/>
          <w:b/>
          <w:color w:val="000000" w:themeColor="text1"/>
        </w:rPr>
      </w:pPr>
      <w:r>
        <w:rP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6480175" cy="8919210"/>
            <wp:effectExtent l="0" t="0" r="0" b="0"/>
            <wp:wrapSquare wrapText="largest"/>
            <wp:docPr id="8"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3" descr=""/>
                    <pic:cNvPicPr>
                      <a:picLocks noChangeAspect="1" noChangeArrowheads="1"/>
                    </pic:cNvPicPr>
                  </pic:nvPicPr>
                  <pic:blipFill>
                    <a:blip r:embed="rId4"/>
                    <a:stretch>
                      <a:fillRect/>
                    </a:stretch>
                  </pic:blipFill>
                  <pic:spPr bwMode="auto">
                    <a:xfrm>
                      <a:off x="0" y="0"/>
                      <a:ext cx="6480175" cy="8919210"/>
                    </a:xfrm>
                    <a:prstGeom prst="rect">
                      <a:avLst/>
                    </a:prstGeom>
                  </pic:spPr>
                </pic:pic>
              </a:graphicData>
            </a:graphic>
          </wp:anchor>
        </w:drawing>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drawing>
          <wp:anchor behindDoc="0" distT="0" distB="0" distL="0" distR="0" simplePos="0" locked="0" layoutInCell="1" allowOverlap="1" relativeHeight="11">
            <wp:simplePos x="0" y="0"/>
            <wp:positionH relativeFrom="column">
              <wp:posOffset>177165</wp:posOffset>
            </wp:positionH>
            <wp:positionV relativeFrom="paragraph">
              <wp:posOffset>3380105</wp:posOffset>
            </wp:positionV>
            <wp:extent cx="6750685" cy="9291955"/>
            <wp:effectExtent l="0" t="0" r="0" b="0"/>
            <wp:wrapSquare wrapText="largest"/>
            <wp:docPr id="9"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4" descr=""/>
                    <pic:cNvPicPr>
                      <a:picLocks noChangeAspect="1" noChangeArrowheads="1"/>
                    </pic:cNvPicPr>
                  </pic:nvPicPr>
                  <pic:blipFill>
                    <a:blip r:embed="rId5"/>
                    <a:stretch>
                      <a:fillRect/>
                    </a:stretch>
                  </pic:blipFill>
                  <pic:spPr bwMode="auto">
                    <a:xfrm>
                      <a:off x="0" y="0"/>
                      <a:ext cx="6750685" cy="9291955"/>
                    </a:xfrm>
                    <a:prstGeom prst="rect">
                      <a:avLst/>
                    </a:prstGeom>
                  </pic:spPr>
                </pic:pic>
              </a:graphicData>
            </a:graphic>
          </wp:anchor>
        </w:drawing>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left="-567" w:right="141" w:firstLine="709"/>
        <w:jc w:val="center"/>
        <w:rPr>
          <w:rFonts w:eastAsia="Times New Roman"/>
          <w:b/>
          <w:b/>
          <w:color w:val="000000" w:themeColor="text1"/>
        </w:rPr>
      </w:pPr>
      <w:r>
        <w:rPr/>
      </w:r>
    </w:p>
    <w:p>
      <w:pPr>
        <w:pStyle w:val="Normal"/>
        <w:widowControl/>
        <w:ind w:right="141" w:hanging="0"/>
        <w:jc w:val="center"/>
        <w:rPr>
          <w:rFonts w:eastAsia="Times New Roman"/>
          <w:b/>
          <w:b/>
          <w:color w:val="000000" w:themeColor="text1"/>
        </w:rPr>
      </w:pPr>
      <w:r>
        <w:rP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6750685" cy="9291955"/>
            <wp:effectExtent l="0" t="0" r="0" b="0"/>
            <wp:wrapSquare wrapText="largest"/>
            <wp:docPr id="10"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5" descr=""/>
                    <pic:cNvPicPr>
                      <a:picLocks noChangeAspect="1" noChangeArrowheads="1"/>
                    </pic:cNvPicPr>
                  </pic:nvPicPr>
                  <pic:blipFill>
                    <a:blip r:embed="rId6"/>
                    <a:stretch>
                      <a:fillRect/>
                    </a:stretch>
                  </pic:blipFill>
                  <pic:spPr bwMode="auto">
                    <a:xfrm>
                      <a:off x="0" y="0"/>
                      <a:ext cx="6750685" cy="9291955"/>
                    </a:xfrm>
                    <a:prstGeom prst="rect">
                      <a:avLst/>
                    </a:prstGeom>
                  </pic:spPr>
                </pic:pic>
              </a:graphicData>
            </a:graphic>
          </wp:anchor>
        </w:drawing>
      </w:r>
    </w:p>
    <w:sectPr>
      <w:footerReference w:type="default" r:id="rId7"/>
      <w:type w:val="nextPage"/>
      <w:pgSz w:w="11906" w:h="16838"/>
      <w:pgMar w:left="1134" w:right="567" w:header="0" w:top="567" w:footer="708" w:bottom="1134" w:gutter="0"/>
      <w:pgNumType w:fmt="decimal"/>
      <w:formProt w:val="false"/>
      <w:titlePg/>
      <w:textDirection w:val="lrTb"/>
      <w:docGrid w:type="default" w:linePitch="360"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Times New Roman">
    <w:charset w:val="cc"/>
    <w:family w:val="roman"/>
    <w:pitch w:val="variable"/>
  </w:font>
  <w:font w:name="Arial">
    <w:charset w:val="cc"/>
    <w:family w:val="roman"/>
    <w:pitch w:val="variable"/>
  </w:font>
  <w:font w:name="Tahoma">
    <w:charset w:val="cc"/>
    <w:family w:val="roman"/>
    <w:pitch w:val="variable"/>
  </w:font>
  <w:font w:name="Courier New">
    <w:charset w:val="cc"/>
    <w:family w:val="roman"/>
    <w:pitch w:val="variable"/>
  </w:font>
  <w:font w:name="Consolas">
    <w:charset w:val="cc"/>
    <w:family w:val="roman"/>
    <w:pitch w:val="variable"/>
  </w:font>
  <w:font w:name="Batang">
    <w:altName w:val="바탕"/>
    <w:charset w:val="cc"/>
    <w:family w:val="roman"/>
    <w:pitch w:val="variable"/>
  </w:font>
  <w:font w:name="Cambria">
    <w:charset w:val="cc"/>
    <w:family w:val="roman"/>
    <w:pitch w:val="variable"/>
  </w:font>
  <w:font w:name="Sylfaen">
    <w:charset w:val="cc"/>
    <w:family w:val="roman"/>
    <w:pitch w:val="variable"/>
  </w:font>
  <w:font w:name="Verdana">
    <w:charset w:val="cc"/>
    <w:family w:val="roman"/>
    <w:pitch w:val="variable"/>
  </w:font>
  <w:font w:name="Arial Narrow">
    <w:charset w:val="cc"/>
    <w:family w:val="roman"/>
    <w:pitch w:val="variable"/>
  </w:font>
  <w:font w:name="GOST type A">
    <w:charset w:val="cc"/>
    <w:family w:val="roman"/>
    <w:pitch w:val="variable"/>
  </w:font>
  <w:font w:name="NTHelvetica/Cyrillic">
    <w:charset w:val="cc"/>
    <w:family w:val="roman"/>
    <w:pitch w:val="variable"/>
  </w:font>
  <w:font w:name="ГОСТ тип А">
    <w:charset w:val="cc"/>
    <w:family w:val="roman"/>
    <w:pitch w:val="variable"/>
  </w:font>
  <w:font w:name="Segoe UI Symbol">
    <w:charset w:val="cc"/>
    <w:family w:val="roman"/>
    <w:pitch w:val="variable"/>
  </w:font>
  <w:font w:name="Times New Roman CYR">
    <w:charset w:val="cc"/>
    <w:family w:val="roman"/>
    <w:pitch w:val="variable"/>
  </w:font>
  <w:font w:name="Arial CYR">
    <w:charset w:val="cc"/>
    <w:family w:val="roman"/>
    <w:pitch w:val="variable"/>
  </w:font>
  <w:font w:name="Arial-BoldMT">
    <w:charset w:val="cc"/>
    <w:family w:val="roman"/>
    <w:pitch w:val="variable"/>
  </w:font>
  <w:font w:name="Cambria Math">
    <w:charset w:val="cc"/>
    <w:family w:val="roman"/>
    <w:pitch w:val="variable"/>
  </w:font>
  <w:font w:name="Symbol">
    <w:charset w:val="cc"/>
    <w:family w:val="roman"/>
    <w:pitch w:val="variable"/>
  </w:font>
  <w:font w:name="TimesNewRomanPSMT">
    <w:charset w:val="cc"/>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582113453"/>
    </w:sdtPr>
    <w:sdtContent>
      <w:p>
        <w:pPr>
          <w:pStyle w:val="Style35"/>
          <w:jc w:val="center"/>
          <w:rPr/>
        </w:pPr>
        <w:r>
          <w:rPr/>
          <w:fldChar w:fldCharType="begin"/>
        </w:r>
        <w:r>
          <w:instrText> PAGE </w:instrText>
        </w:r>
        <w:r>
          <w:fldChar w:fldCharType="separate"/>
        </w:r>
        <w:r>
          <w:t>82</w:t>
        </w:r>
        <w:r>
          <w:fldChar w:fldCharType="end"/>
        </w:r>
      </w:p>
    </w:sdtContent>
  </w:sdt>
  <w:p>
    <w:pPr>
      <w:pStyle w:val="Style35"/>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numFmt w:val="bullet"/>
      <w:lvlText w:val=""/>
      <w:lvlJc w:val="left"/>
      <w:pPr>
        <w:ind w:left="72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bering>
</file>

<file path=word/settings.xml><?xml version="1.0" encoding="utf-8"?>
<w:settings xmlns:w="http://schemas.openxmlformats.org/wordprocessingml/2006/main">
  <w:zoom w:percent="100"/>
  <w:mirrorMargins/>
  <w:defaultTabStop w:val="708"/>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imes New Roman"/>
        <w:lang w:val="ru-RU" w:eastAsia="ru-RU" w:bidi="ar-SA"/>
      </w:rPr>
    </w:rPrDefault>
    <w:pPrDefault>
      <w:pPr/>
    </w:pPrDefault>
  </w:docDefaults>
  <w:latentStyles w:defLockedState="0" w:defUIPriority="99" w:defSemiHidden="1" w:defUnhideWhenUsed="1" w:defQFormat="0" w:count="267">
    <w:lsdException w:name="Normal" w:uiPriority="0" w:semiHidden="0" w:unhideWhenUsed="0" w:qFormat="1"/>
    <w:lsdException w:name="heading 1" w:uiPriority="0" w:semiHidden="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Title" w:uiPriority="0" w:semiHidden="0" w:unhideWhenUsed="0" w:qFormat="1"/>
    <w:lsdException w:name="Default Paragraph Font" w:uiPriority="1"/>
    <w:lsdException w:name="Subtitle" w:uiPriority="0" w:semiHidden="0" w:unhideWhenUsed="0" w:qFormat="1"/>
    <w:lsdException w:name="Strong" w:uiPriority="22" w:semiHidden="0" w:unhideWhenUsed="0" w:qFormat="1"/>
    <w:lsdException w:name="Emphasis" w:uiPriority="0" w:semiHidden="0" w:unhideWhenUsed="0" w:qFormat="1"/>
    <w:lsdException w:name="Document Map" w:uiPriority="0"/>
    <w:lsdException w:name="Plain Text" w:uiPriority="0" w:qFormat="1"/>
    <w:lsdException w:name="Normal (Web)" w:uiPriority="34" w:qFormat="1"/>
    <w:lsdException w:name="annotation subject" w:uiPriority="0"/>
    <w:lsdException w:name="Table Grid" w:uiPriority="0"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e50d6b"/>
    <w:pPr>
      <w:widowControl w:val="false"/>
      <w:bidi w:val="0"/>
      <w:ind w:firstLine="720"/>
      <w:jc w:val="left"/>
    </w:pPr>
    <w:rPr>
      <w:rFonts w:ascii="Times New Roman" w:hAnsi="Times New Roman" w:eastAsia="Calibri" w:cs="Times New Roman"/>
      <w:color w:val="auto"/>
      <w:sz w:val="24"/>
      <w:szCs w:val="24"/>
      <w:lang w:val="ru-RU" w:eastAsia="ru-RU" w:bidi="ar-SA"/>
    </w:rPr>
  </w:style>
  <w:style w:type="paragraph" w:styleId="1">
    <w:name w:val="Heading 1"/>
    <w:basedOn w:val="Normal"/>
    <w:link w:val="10"/>
    <w:qFormat/>
    <w:rsid w:val="00e87d6a"/>
    <w:pPr>
      <w:keepNext/>
      <w:widowControl/>
      <w:outlineLvl w:val="0"/>
    </w:pPr>
    <w:rPr>
      <w:rFonts w:eastAsia="Times New Roman"/>
      <w:b/>
      <w:sz w:val="28"/>
    </w:rPr>
  </w:style>
  <w:style w:type="paragraph" w:styleId="2">
    <w:name w:val="Heading 2"/>
    <w:basedOn w:val="Normal"/>
    <w:link w:val="21"/>
    <w:qFormat/>
    <w:rsid w:val="00e87d6a"/>
    <w:pPr>
      <w:keepNext/>
      <w:spacing w:before="240" w:after="60"/>
      <w:ind w:hanging="0"/>
      <w:jc w:val="left"/>
      <w:outlineLvl w:val="1"/>
    </w:pPr>
    <w:rPr>
      <w:rFonts w:ascii="Arial" w:hAnsi="Arial" w:eastAsia="Times New Roman" w:cs="Arial"/>
      <w:b/>
      <w:bCs/>
      <w:i/>
      <w:iCs/>
      <w:sz w:val="28"/>
      <w:szCs w:val="28"/>
    </w:rPr>
  </w:style>
  <w:style w:type="paragraph" w:styleId="3">
    <w:name w:val="Heading 3"/>
    <w:basedOn w:val="Normal"/>
    <w:link w:val="30"/>
    <w:qFormat/>
    <w:rsid w:val="00e87d6a"/>
    <w:pPr>
      <w:keepNext/>
      <w:spacing w:before="240" w:after="60"/>
      <w:ind w:hanging="0"/>
      <w:jc w:val="left"/>
      <w:outlineLvl w:val="2"/>
    </w:pPr>
    <w:rPr>
      <w:rFonts w:ascii="Arial" w:hAnsi="Arial" w:eastAsia="Times New Roman" w:cs="Arial"/>
      <w:b/>
      <w:bCs/>
      <w:sz w:val="26"/>
      <w:szCs w:val="26"/>
    </w:rPr>
  </w:style>
  <w:style w:type="paragraph" w:styleId="4">
    <w:name w:val="Heading 4"/>
    <w:basedOn w:val="Normal"/>
    <w:link w:val="40"/>
    <w:uiPriority w:val="9"/>
    <w:qFormat/>
    <w:rsid w:val="00e87d6a"/>
    <w:pPr>
      <w:keepNext/>
      <w:spacing w:before="240" w:after="60"/>
      <w:ind w:hanging="0"/>
      <w:jc w:val="left"/>
      <w:outlineLvl w:val="3"/>
    </w:pPr>
    <w:rPr>
      <w:rFonts w:eastAsia="Times New Roman"/>
      <w:b/>
      <w:bCs/>
      <w:sz w:val="28"/>
      <w:szCs w:val="28"/>
    </w:rPr>
  </w:style>
  <w:style w:type="paragraph" w:styleId="5">
    <w:name w:val="Heading 5"/>
    <w:basedOn w:val="Normal"/>
    <w:link w:val="50"/>
    <w:qFormat/>
    <w:rsid w:val="00e87d6a"/>
    <w:pPr>
      <w:spacing w:before="240" w:after="60"/>
      <w:ind w:hanging="0"/>
      <w:jc w:val="left"/>
      <w:outlineLvl w:val="4"/>
    </w:pPr>
    <w:rPr>
      <w:rFonts w:eastAsia="Times New Roman"/>
      <w:b/>
      <w:bCs/>
      <w:i/>
      <w:iCs/>
      <w:sz w:val="26"/>
      <w:szCs w:val="26"/>
    </w:rPr>
  </w:style>
  <w:style w:type="paragraph" w:styleId="6">
    <w:name w:val="Heading 6"/>
    <w:basedOn w:val="Normal"/>
    <w:link w:val="60"/>
    <w:qFormat/>
    <w:rsid w:val="00e87d6a"/>
    <w:pPr>
      <w:spacing w:before="240" w:after="60"/>
      <w:outlineLvl w:val="5"/>
    </w:pPr>
    <w:rPr>
      <w:rFonts w:ascii="Calibri" w:hAnsi="Calibri" w:eastAsia="Times New Roman"/>
      <w:b/>
      <w:bCs/>
      <w:sz w:val="22"/>
      <w:szCs w:val="22"/>
    </w:rPr>
  </w:style>
  <w:style w:type="paragraph" w:styleId="7">
    <w:name w:val="Heading 7"/>
    <w:basedOn w:val="Normal"/>
    <w:link w:val="70"/>
    <w:qFormat/>
    <w:rsid w:val="00e87d6a"/>
    <w:pPr>
      <w:spacing w:before="240" w:after="60"/>
      <w:ind w:hanging="0"/>
      <w:jc w:val="left"/>
      <w:outlineLvl w:val="6"/>
    </w:pPr>
    <w:rPr>
      <w:rFonts w:eastAsia="Times New Roman"/>
    </w:rPr>
  </w:style>
  <w:style w:type="paragraph" w:styleId="8">
    <w:name w:val="Heading 8"/>
    <w:basedOn w:val="Normal"/>
    <w:link w:val="80"/>
    <w:uiPriority w:val="9"/>
    <w:qFormat/>
    <w:rsid w:val="00e87d6a"/>
    <w:pPr>
      <w:spacing w:before="240" w:after="60"/>
      <w:ind w:hanging="0"/>
      <w:jc w:val="left"/>
      <w:outlineLvl w:val="7"/>
    </w:pPr>
    <w:rPr>
      <w:rFonts w:eastAsia="Times New Roman"/>
      <w:i/>
      <w:iCs/>
    </w:rPr>
  </w:style>
  <w:style w:type="paragraph" w:styleId="9">
    <w:name w:val="Heading 9"/>
    <w:basedOn w:val="Normal"/>
    <w:link w:val="90"/>
    <w:qFormat/>
    <w:rsid w:val="00e87d6a"/>
    <w:pPr>
      <w:keepNext/>
      <w:widowControl/>
      <w:ind w:hanging="0"/>
      <w:jc w:val="left"/>
      <w:outlineLvl w:val="8"/>
    </w:pPr>
    <w:rPr>
      <w:rFonts w:eastAsia="Times New Roman"/>
      <w:szCs w:val="20"/>
    </w:rPr>
  </w:style>
  <w:style w:type="character" w:styleId="DefaultParagraphFont" w:default="1">
    <w:name w:val="Default Paragraph Font"/>
    <w:uiPriority w:val="1"/>
    <w:semiHidden/>
    <w:unhideWhenUsed/>
    <w:qFormat/>
    <w:rPr/>
  </w:style>
  <w:style w:type="character" w:styleId="11" w:customStyle="1">
    <w:name w:val="Заголовок 1 Знак"/>
    <w:link w:val="1"/>
    <w:qFormat/>
    <w:rsid w:val="00e87d6a"/>
    <w:rPr>
      <w:rFonts w:ascii="Times New Roman" w:hAnsi="Times New Roman" w:eastAsia="Times New Roman" w:cs="Times New Roman"/>
      <w:b/>
      <w:sz w:val="28"/>
      <w:szCs w:val="24"/>
      <w:lang w:eastAsia="ru-RU"/>
    </w:rPr>
  </w:style>
  <w:style w:type="character" w:styleId="21" w:customStyle="1">
    <w:name w:val="Заголовок 2 Знак"/>
    <w:link w:val="20"/>
    <w:qFormat/>
    <w:rsid w:val="00e87d6a"/>
    <w:rPr>
      <w:rFonts w:ascii="Arial" w:hAnsi="Arial" w:eastAsia="Times New Roman" w:cs="Arial"/>
      <w:b/>
      <w:bCs/>
      <w:i/>
      <w:iCs/>
      <w:sz w:val="28"/>
      <w:szCs w:val="28"/>
    </w:rPr>
  </w:style>
  <w:style w:type="character" w:styleId="31" w:customStyle="1">
    <w:name w:val="Заголовок 3 Знак"/>
    <w:link w:val="3"/>
    <w:qFormat/>
    <w:rsid w:val="00e87d6a"/>
    <w:rPr>
      <w:rFonts w:ascii="Arial" w:hAnsi="Arial" w:eastAsia="Times New Roman" w:cs="Arial"/>
      <w:b/>
      <w:bCs/>
      <w:sz w:val="26"/>
      <w:szCs w:val="26"/>
    </w:rPr>
  </w:style>
  <w:style w:type="character" w:styleId="41" w:customStyle="1">
    <w:name w:val="Заголовок 4 Знак"/>
    <w:link w:val="4"/>
    <w:uiPriority w:val="9"/>
    <w:qFormat/>
    <w:rsid w:val="00e87d6a"/>
    <w:rPr>
      <w:rFonts w:ascii="Times New Roman" w:hAnsi="Times New Roman" w:eastAsia="Times New Roman"/>
      <w:b/>
      <w:bCs/>
      <w:sz w:val="28"/>
      <w:szCs w:val="28"/>
    </w:rPr>
  </w:style>
  <w:style w:type="character" w:styleId="51" w:customStyle="1">
    <w:name w:val="Заголовок 5 Знак"/>
    <w:link w:val="5"/>
    <w:qFormat/>
    <w:rsid w:val="00e87d6a"/>
    <w:rPr>
      <w:rFonts w:ascii="Times New Roman" w:hAnsi="Times New Roman" w:eastAsia="Times New Roman"/>
      <w:b/>
      <w:bCs/>
      <w:i/>
      <w:iCs/>
      <w:sz w:val="26"/>
      <w:szCs w:val="26"/>
    </w:rPr>
  </w:style>
  <w:style w:type="character" w:styleId="61" w:customStyle="1">
    <w:name w:val="Заголовок 6 Знак"/>
    <w:link w:val="6"/>
    <w:qFormat/>
    <w:rsid w:val="00e87d6a"/>
    <w:rPr>
      <w:rFonts w:ascii="Calibri" w:hAnsi="Calibri" w:eastAsia="Times New Roman" w:cs="Times New Roman"/>
      <w:b/>
      <w:bCs/>
      <w:sz w:val="22"/>
      <w:szCs w:val="22"/>
    </w:rPr>
  </w:style>
  <w:style w:type="character" w:styleId="71" w:customStyle="1">
    <w:name w:val="Заголовок 7 Знак"/>
    <w:link w:val="7"/>
    <w:qFormat/>
    <w:rsid w:val="00e87d6a"/>
    <w:rPr>
      <w:rFonts w:ascii="Times New Roman" w:hAnsi="Times New Roman" w:eastAsia="Times New Roman"/>
      <w:sz w:val="24"/>
      <w:szCs w:val="24"/>
    </w:rPr>
  </w:style>
  <w:style w:type="character" w:styleId="81" w:customStyle="1">
    <w:name w:val="Заголовок 8 Знак"/>
    <w:link w:val="8"/>
    <w:uiPriority w:val="9"/>
    <w:qFormat/>
    <w:rsid w:val="00e87d6a"/>
    <w:rPr>
      <w:rFonts w:ascii="Times New Roman" w:hAnsi="Times New Roman" w:eastAsia="Times New Roman"/>
      <w:i/>
      <w:iCs/>
      <w:sz w:val="24"/>
      <w:szCs w:val="24"/>
    </w:rPr>
  </w:style>
  <w:style w:type="character" w:styleId="91" w:customStyle="1">
    <w:name w:val="Заголовок 9 Знак"/>
    <w:link w:val="9"/>
    <w:qFormat/>
    <w:rsid w:val="00e87d6a"/>
    <w:rPr>
      <w:rFonts w:ascii="Times New Roman" w:hAnsi="Times New Roman" w:eastAsia="Times New Roman"/>
      <w:sz w:val="24"/>
    </w:rPr>
  </w:style>
  <w:style w:type="character" w:styleId="Style5" w:customStyle="1">
    <w:name w:val="Название Знак"/>
    <w:link w:val="a5"/>
    <w:qFormat/>
    <w:rsid w:val="00e87d6a"/>
    <w:rPr>
      <w:rFonts w:ascii="Times New Roman" w:hAnsi="Times New Roman" w:eastAsia="Times New Roman"/>
      <w:b/>
      <w:bCs/>
      <w:sz w:val="28"/>
      <w:szCs w:val="24"/>
    </w:rPr>
  </w:style>
  <w:style w:type="character" w:styleId="Style6" w:customStyle="1">
    <w:name w:val="Подзаголовок Знак"/>
    <w:link w:val="a7"/>
    <w:qFormat/>
    <w:rsid w:val="00e87d6a"/>
    <w:rPr>
      <w:rFonts w:ascii="Times New Roman" w:hAnsi="Times New Roman" w:eastAsia="Times New Roman"/>
      <w:sz w:val="24"/>
    </w:rPr>
  </w:style>
  <w:style w:type="character" w:styleId="Strong">
    <w:name w:val="Strong"/>
    <w:uiPriority w:val="22"/>
    <w:qFormat/>
    <w:rsid w:val="00e87d6a"/>
    <w:rPr>
      <w:b/>
      <w:bCs/>
    </w:rPr>
  </w:style>
  <w:style w:type="character" w:styleId="Style7">
    <w:name w:val="Выделение"/>
    <w:qFormat/>
    <w:rsid w:val="00e87d6a"/>
    <w:rPr>
      <w:i/>
      <w:iCs/>
    </w:rPr>
  </w:style>
  <w:style w:type="character" w:styleId="Style8" w:customStyle="1">
    <w:name w:val="Абзац списка Знак"/>
    <w:link w:val="ac"/>
    <w:uiPriority w:val="34"/>
    <w:qFormat/>
    <w:locked/>
    <w:rsid w:val="00e87d6a"/>
    <w:rPr>
      <w:rFonts w:ascii="Times New Roman" w:hAnsi="Times New Roman" w:eastAsia="Times New Roman"/>
      <w:sz w:val="24"/>
      <w:szCs w:val="24"/>
    </w:rPr>
  </w:style>
  <w:style w:type="character" w:styleId="SubtleEmphasis">
    <w:name w:val="Subtle Emphasis"/>
    <w:uiPriority w:val="19"/>
    <w:qFormat/>
    <w:rsid w:val="00e87d6a"/>
    <w:rPr>
      <w:i/>
      <w:iCs/>
      <w:color w:val="808080"/>
    </w:rPr>
  </w:style>
  <w:style w:type="character" w:styleId="12" w:customStyle="1">
    <w:name w:val="Стиль1 Знак"/>
    <w:link w:val="11"/>
    <w:qFormat/>
    <w:rsid w:val="00e87d6a"/>
    <w:rPr>
      <w:rFonts w:ascii="Times New Roman" w:hAnsi="Times New Roman" w:eastAsia="Times New Roman"/>
      <w:sz w:val="24"/>
      <w:szCs w:val="24"/>
    </w:rPr>
  </w:style>
  <w:style w:type="character" w:styleId="Style9">
    <w:name w:val="Интернет-ссылка"/>
    <w:uiPriority w:val="99"/>
    <w:unhideWhenUsed/>
    <w:rsid w:val="009644a8"/>
    <w:rPr>
      <w:color w:val="0000FF"/>
      <w:u w:val="single"/>
    </w:rPr>
  </w:style>
  <w:style w:type="character" w:styleId="Style10" w:customStyle="1">
    <w:name w:val="Текст сноски Знак"/>
    <w:basedOn w:val="DefaultParagraphFont"/>
    <w:link w:val="af2"/>
    <w:semiHidden/>
    <w:qFormat/>
    <w:locked/>
    <w:rsid w:val="009644a8"/>
    <w:rPr>
      <w:rFonts w:ascii="Times New Roman" w:hAnsi="Times New Roman" w:eastAsia="Times New Roman"/>
    </w:rPr>
  </w:style>
  <w:style w:type="character" w:styleId="Style11" w:customStyle="1">
    <w:name w:val="Текст примечания Знак"/>
    <w:link w:val="af4"/>
    <w:semiHidden/>
    <w:qFormat/>
    <w:locked/>
    <w:rsid w:val="009644a8"/>
    <w:rPr>
      <w:rFonts w:ascii="Times New Roman" w:hAnsi="Times New Roman" w:eastAsia="Times New Roman"/>
    </w:rPr>
  </w:style>
  <w:style w:type="character" w:styleId="Style12" w:customStyle="1">
    <w:name w:val="Верхний колонтитул Знак"/>
    <w:basedOn w:val="DefaultParagraphFont"/>
    <w:link w:val="af6"/>
    <w:uiPriority w:val="99"/>
    <w:semiHidden/>
    <w:qFormat/>
    <w:locked/>
    <w:rsid w:val="009644a8"/>
    <w:rPr>
      <w:rFonts w:ascii="Times New Roman" w:hAnsi="Times New Roman"/>
      <w:sz w:val="24"/>
      <w:szCs w:val="24"/>
    </w:rPr>
  </w:style>
  <w:style w:type="character" w:styleId="Style13" w:customStyle="1">
    <w:name w:val="Нижний колонтитул Знак"/>
    <w:basedOn w:val="DefaultParagraphFont"/>
    <w:link w:val="af8"/>
    <w:uiPriority w:val="99"/>
    <w:qFormat/>
    <w:locked/>
    <w:rsid w:val="009644a8"/>
    <w:rPr>
      <w:rFonts w:ascii="Times New Roman" w:hAnsi="Times New Roman"/>
      <w:sz w:val="24"/>
      <w:szCs w:val="24"/>
    </w:rPr>
  </w:style>
  <w:style w:type="character" w:styleId="Style14" w:customStyle="1">
    <w:name w:val="Основной текст Знак"/>
    <w:basedOn w:val="DefaultParagraphFont"/>
    <w:link w:val="afa"/>
    <w:uiPriority w:val="99"/>
    <w:semiHidden/>
    <w:qFormat/>
    <w:locked/>
    <w:rsid w:val="009644a8"/>
    <w:rPr>
      <w:rFonts w:ascii="Times New Roman" w:hAnsi="Times New Roman" w:eastAsia="Times New Roman"/>
      <w:sz w:val="24"/>
      <w:szCs w:val="24"/>
    </w:rPr>
  </w:style>
  <w:style w:type="character" w:styleId="Style15" w:customStyle="1">
    <w:name w:val="Основной текст с отступом Знак"/>
    <w:basedOn w:val="DefaultParagraphFont"/>
    <w:link w:val="afc"/>
    <w:uiPriority w:val="99"/>
    <w:semiHidden/>
    <w:qFormat/>
    <w:locked/>
    <w:rsid w:val="009644a8"/>
    <w:rPr>
      <w:rFonts w:ascii="Times New Roman" w:hAnsi="Times New Roman"/>
      <w:sz w:val="24"/>
      <w:szCs w:val="24"/>
    </w:rPr>
  </w:style>
  <w:style w:type="character" w:styleId="22" w:customStyle="1">
    <w:name w:val="Основной текст 2 Знак"/>
    <w:basedOn w:val="DefaultParagraphFont"/>
    <w:link w:val="23"/>
    <w:uiPriority w:val="99"/>
    <w:qFormat/>
    <w:locked/>
    <w:rsid w:val="009644a8"/>
    <w:rPr>
      <w:rFonts w:ascii="Times New Roman" w:hAnsi="Times New Roman" w:eastAsia="Times New Roman"/>
      <w:sz w:val="24"/>
      <w:szCs w:val="24"/>
    </w:rPr>
  </w:style>
  <w:style w:type="character" w:styleId="32" w:customStyle="1">
    <w:name w:val="Основной текст 3 Знак"/>
    <w:basedOn w:val="DefaultParagraphFont"/>
    <w:link w:val="32"/>
    <w:uiPriority w:val="99"/>
    <w:qFormat/>
    <w:locked/>
    <w:rsid w:val="009644a8"/>
    <w:rPr>
      <w:rFonts w:ascii="Times New Roman" w:hAnsi="Times New Roman" w:eastAsia="Times New Roman"/>
      <w:sz w:val="24"/>
      <w:szCs w:val="24"/>
    </w:rPr>
  </w:style>
  <w:style w:type="character" w:styleId="23" w:customStyle="1">
    <w:name w:val="Основной текст с отступом 2 Знак"/>
    <w:basedOn w:val="DefaultParagraphFont"/>
    <w:link w:val="25"/>
    <w:uiPriority w:val="99"/>
    <w:semiHidden/>
    <w:qFormat/>
    <w:locked/>
    <w:rsid w:val="009644a8"/>
    <w:rPr>
      <w:rFonts w:ascii="Times New Roman" w:hAnsi="Times New Roman" w:eastAsia="Times New Roman"/>
      <w:sz w:val="24"/>
      <w:szCs w:val="24"/>
    </w:rPr>
  </w:style>
  <w:style w:type="character" w:styleId="33" w:customStyle="1">
    <w:name w:val="Основной текст с отступом 3 Знак"/>
    <w:basedOn w:val="DefaultParagraphFont"/>
    <w:link w:val="34"/>
    <w:uiPriority w:val="99"/>
    <w:semiHidden/>
    <w:qFormat/>
    <w:locked/>
    <w:rsid w:val="009644a8"/>
    <w:rPr>
      <w:rFonts w:ascii="Times New Roman" w:hAnsi="Times New Roman" w:eastAsia="Times New Roman"/>
      <w:sz w:val="24"/>
      <w:szCs w:val="24"/>
    </w:rPr>
  </w:style>
  <w:style w:type="character" w:styleId="Style16" w:customStyle="1">
    <w:name w:val="Схема документа Знак"/>
    <w:link w:val="afe"/>
    <w:semiHidden/>
    <w:qFormat/>
    <w:locked/>
    <w:rsid w:val="009644a8"/>
    <w:rPr>
      <w:rFonts w:ascii="Tahoma" w:hAnsi="Tahoma" w:eastAsia="Times New Roman" w:cs="Tahoma"/>
    </w:rPr>
  </w:style>
  <w:style w:type="character" w:styleId="Style17" w:customStyle="1">
    <w:name w:val="Текст Знак"/>
    <w:basedOn w:val="DefaultParagraphFont"/>
    <w:link w:val="aff0"/>
    <w:semiHidden/>
    <w:qFormat/>
    <w:locked/>
    <w:rsid w:val="009644a8"/>
    <w:rPr>
      <w:rFonts w:ascii="Courier New" w:hAnsi="Courier New" w:eastAsia="Times New Roman" w:cs="Courier New"/>
    </w:rPr>
  </w:style>
  <w:style w:type="character" w:styleId="13" w:customStyle="1">
    <w:name w:val="Текст Знак1"/>
    <w:basedOn w:val="DefaultParagraphFont"/>
    <w:semiHidden/>
    <w:qFormat/>
    <w:rsid w:val="009644a8"/>
    <w:rPr>
      <w:rFonts w:ascii="Consolas" w:hAnsi="Consolas"/>
      <w:sz w:val="21"/>
      <w:szCs w:val="21"/>
    </w:rPr>
  </w:style>
  <w:style w:type="character" w:styleId="14" w:customStyle="1">
    <w:name w:val="Текст примечания Знак1"/>
    <w:basedOn w:val="DefaultParagraphFont"/>
    <w:uiPriority w:val="99"/>
    <w:semiHidden/>
    <w:qFormat/>
    <w:rsid w:val="009644a8"/>
    <w:rPr>
      <w:rFonts w:ascii="Times New Roman" w:hAnsi="Times New Roman"/>
    </w:rPr>
  </w:style>
  <w:style w:type="character" w:styleId="Style18" w:customStyle="1">
    <w:name w:val="Тема примечания Знак"/>
    <w:link w:val="aff2"/>
    <w:semiHidden/>
    <w:qFormat/>
    <w:locked/>
    <w:rsid w:val="009644a8"/>
    <w:rPr>
      <w:rFonts w:ascii="Times New Roman" w:hAnsi="Times New Roman" w:eastAsia="Times New Roman"/>
      <w:b/>
      <w:bCs/>
    </w:rPr>
  </w:style>
  <w:style w:type="character" w:styleId="Style19" w:customStyle="1">
    <w:name w:val="Текст выноски Знак"/>
    <w:basedOn w:val="DefaultParagraphFont"/>
    <w:link w:val="aff4"/>
    <w:uiPriority w:val="99"/>
    <w:semiHidden/>
    <w:qFormat/>
    <w:locked/>
    <w:rsid w:val="009644a8"/>
    <w:rPr>
      <w:rFonts w:ascii="Tahoma" w:hAnsi="Tahoma" w:cs="Tahoma"/>
      <w:sz w:val="16"/>
      <w:szCs w:val="16"/>
    </w:rPr>
  </w:style>
  <w:style w:type="character" w:styleId="15" w:customStyle="1">
    <w:name w:val="Обычный (веб) Знак1"/>
    <w:uiPriority w:val="34"/>
    <w:qFormat/>
    <w:locked/>
    <w:rsid w:val="009644a8"/>
    <w:rPr>
      <w:rFonts w:ascii="Times New Roman" w:hAnsi="Times New Roman" w:eastAsia="Times New Roman"/>
      <w:sz w:val="24"/>
      <w:szCs w:val="24"/>
    </w:rPr>
  </w:style>
  <w:style w:type="character" w:styleId="24" w:customStyle="1">
    <w:name w:val="Основной текст (2)_"/>
    <w:link w:val="29"/>
    <w:qFormat/>
    <w:locked/>
    <w:rsid w:val="009644a8"/>
    <w:rPr>
      <w:rFonts w:ascii="Tahoma" w:hAnsi="Tahoma" w:eastAsia="Tahoma" w:cs="Tahoma"/>
      <w:sz w:val="33"/>
      <w:szCs w:val="33"/>
      <w:shd w:fill="FFFFFF" w:val="clear"/>
    </w:rPr>
  </w:style>
  <w:style w:type="character" w:styleId="Style20" w:customStyle="1">
    <w:name w:val="Основной текст_"/>
    <w:link w:val="2a"/>
    <w:qFormat/>
    <w:locked/>
    <w:rsid w:val="009644a8"/>
    <w:rPr>
      <w:rFonts w:ascii="Times New Roman" w:hAnsi="Times New Roman" w:eastAsia="Times New Roman"/>
      <w:spacing w:val="4"/>
      <w:sz w:val="21"/>
      <w:szCs w:val="21"/>
      <w:shd w:fill="FFFFFF" w:val="clear"/>
    </w:rPr>
  </w:style>
  <w:style w:type="character" w:styleId="18Exact" w:customStyle="1">
    <w:name w:val="Основной текст (18) Exact"/>
    <w:link w:val="18"/>
    <w:qFormat/>
    <w:locked/>
    <w:rsid w:val="009644a8"/>
    <w:rPr>
      <w:rFonts w:ascii="Batang" w:hAnsi="Batang" w:eastAsia="Batang" w:cs="Batang"/>
      <w:spacing w:val="5"/>
      <w:sz w:val="10"/>
      <w:szCs w:val="10"/>
      <w:shd w:fill="FFFFFF" w:val="clear"/>
    </w:rPr>
  </w:style>
  <w:style w:type="character" w:styleId="62" w:customStyle="1">
    <w:name w:val="Заголовок №6_"/>
    <w:link w:val="62"/>
    <w:qFormat/>
    <w:locked/>
    <w:rsid w:val="009644a8"/>
    <w:rPr>
      <w:sz w:val="32"/>
      <w:szCs w:val="32"/>
      <w:shd w:fill="FFFFFF" w:val="clear"/>
    </w:rPr>
  </w:style>
  <w:style w:type="character" w:styleId="73" w:customStyle="1">
    <w:name w:val="Заголовок №7 (3)_"/>
    <w:link w:val="731"/>
    <w:qFormat/>
    <w:locked/>
    <w:rsid w:val="009644a8"/>
    <w:rPr>
      <w:i/>
      <w:iCs/>
      <w:sz w:val="28"/>
      <w:szCs w:val="28"/>
      <w:shd w:fill="FFFFFF" w:val="clear"/>
    </w:rPr>
  </w:style>
  <w:style w:type="character" w:styleId="16" w:customStyle="1">
    <w:name w:val="Основной текст (16)_"/>
    <w:link w:val="161"/>
    <w:qFormat/>
    <w:locked/>
    <w:rsid w:val="009644a8"/>
    <w:rPr>
      <w:rFonts w:ascii="Arial" w:hAnsi="Arial" w:cs="Arial"/>
      <w:sz w:val="16"/>
      <w:szCs w:val="16"/>
      <w:shd w:fill="FFFFFF" w:val="clear"/>
    </w:rPr>
  </w:style>
  <w:style w:type="character" w:styleId="621" w:customStyle="1">
    <w:name w:val="Заголовок №6 (2)_"/>
    <w:link w:val="621"/>
    <w:qFormat/>
    <w:locked/>
    <w:rsid w:val="009644a8"/>
    <w:rPr>
      <w:sz w:val="33"/>
      <w:szCs w:val="33"/>
      <w:shd w:fill="FFFFFF" w:val="clear"/>
    </w:rPr>
  </w:style>
  <w:style w:type="character" w:styleId="34" w:customStyle="1">
    <w:name w:val="Заголовок №3_"/>
    <w:link w:val="36"/>
    <w:qFormat/>
    <w:locked/>
    <w:rsid w:val="009644a8"/>
    <w:rPr>
      <w:sz w:val="28"/>
      <w:szCs w:val="28"/>
      <w:shd w:fill="FFFFFF" w:val="clear"/>
    </w:rPr>
  </w:style>
  <w:style w:type="character" w:styleId="72" w:customStyle="1">
    <w:name w:val="Заголовок №7_"/>
    <w:link w:val="74"/>
    <w:qFormat/>
    <w:locked/>
    <w:rsid w:val="009644a8"/>
    <w:rPr>
      <w:sz w:val="28"/>
      <w:szCs w:val="28"/>
      <w:shd w:fill="FFFFFF" w:val="clear"/>
    </w:rPr>
  </w:style>
  <w:style w:type="character" w:styleId="Style21" w:customStyle="1">
    <w:name w:val="ТЕКСТ ОСНОВНОЙ Знак"/>
    <w:link w:val="aff9"/>
    <w:qFormat/>
    <w:locked/>
    <w:rsid w:val="009644a8"/>
    <w:rPr>
      <w:rFonts w:ascii="Times New Roman" w:hAnsi="Times New Roman" w:eastAsia="Times New Roman"/>
      <w:sz w:val="24"/>
      <w:szCs w:val="24"/>
    </w:rPr>
  </w:style>
  <w:style w:type="character" w:styleId="17" w:customStyle="1">
    <w:name w:val="Название Знак1"/>
    <w:basedOn w:val="DefaultParagraphFont"/>
    <w:qFormat/>
    <w:rsid w:val="009644a8"/>
    <w:rPr>
      <w:rFonts w:ascii="Cambria" w:hAnsi="Cambria" w:eastAsia="" w:cs="" w:asciiTheme="majorHAnsi" w:cstheme="majorBidi" w:eastAsiaTheme="majorEastAsia" w:hAnsiTheme="majorHAnsi"/>
      <w:color w:val="17365D" w:themeColor="text2" w:themeShade="bf"/>
      <w:spacing w:val="5"/>
      <w:sz w:val="52"/>
      <w:szCs w:val="52"/>
    </w:rPr>
  </w:style>
  <w:style w:type="character" w:styleId="18" w:customStyle="1">
    <w:name w:val="Подзаголовок Знак1"/>
    <w:basedOn w:val="DefaultParagraphFont"/>
    <w:uiPriority w:val="11"/>
    <w:qFormat/>
    <w:rsid w:val="009644a8"/>
    <w:rPr>
      <w:rFonts w:ascii="Cambria" w:hAnsi="Cambria" w:eastAsia="" w:cs="" w:asciiTheme="majorHAnsi" w:cstheme="majorBidi" w:eastAsiaTheme="majorEastAsia" w:hAnsiTheme="majorHAnsi"/>
      <w:i/>
      <w:iCs/>
      <w:color w:val="4F81BD" w:themeColor="accent1"/>
      <w:spacing w:val="15"/>
      <w:sz w:val="24"/>
      <w:szCs w:val="24"/>
    </w:rPr>
  </w:style>
  <w:style w:type="character" w:styleId="19" w:customStyle="1">
    <w:name w:val="Текст сноски Знак1"/>
    <w:basedOn w:val="DefaultParagraphFont"/>
    <w:semiHidden/>
    <w:qFormat/>
    <w:rsid w:val="009644a8"/>
    <w:rPr>
      <w:rFonts w:ascii="Times New Roman" w:hAnsi="Times New Roman"/>
    </w:rPr>
  </w:style>
  <w:style w:type="character" w:styleId="110" w:customStyle="1">
    <w:name w:val="Верхний колонтитул Знак1"/>
    <w:basedOn w:val="DefaultParagraphFont"/>
    <w:uiPriority w:val="99"/>
    <w:semiHidden/>
    <w:qFormat/>
    <w:rsid w:val="009644a8"/>
    <w:rPr>
      <w:rFonts w:ascii="Times New Roman" w:hAnsi="Times New Roman"/>
      <w:sz w:val="24"/>
      <w:szCs w:val="24"/>
    </w:rPr>
  </w:style>
  <w:style w:type="character" w:styleId="111" w:customStyle="1">
    <w:name w:val="Нижний колонтитул Знак1"/>
    <w:basedOn w:val="DefaultParagraphFont"/>
    <w:uiPriority w:val="99"/>
    <w:semiHidden/>
    <w:qFormat/>
    <w:rsid w:val="009644a8"/>
    <w:rPr>
      <w:rFonts w:ascii="Times New Roman" w:hAnsi="Times New Roman"/>
      <w:sz w:val="24"/>
      <w:szCs w:val="24"/>
    </w:rPr>
  </w:style>
  <w:style w:type="character" w:styleId="112" w:customStyle="1">
    <w:name w:val="Основной текст Знак1"/>
    <w:basedOn w:val="DefaultParagraphFont"/>
    <w:uiPriority w:val="99"/>
    <w:semiHidden/>
    <w:qFormat/>
    <w:rsid w:val="009644a8"/>
    <w:rPr>
      <w:rFonts w:ascii="Times New Roman" w:hAnsi="Times New Roman"/>
      <w:sz w:val="24"/>
      <w:szCs w:val="24"/>
    </w:rPr>
  </w:style>
  <w:style w:type="character" w:styleId="113" w:customStyle="1">
    <w:name w:val="Основной текст с отступом Знак1"/>
    <w:basedOn w:val="DefaultParagraphFont"/>
    <w:uiPriority w:val="99"/>
    <w:semiHidden/>
    <w:qFormat/>
    <w:rsid w:val="009644a8"/>
    <w:rPr>
      <w:rFonts w:ascii="Times New Roman" w:hAnsi="Times New Roman"/>
      <w:sz w:val="24"/>
      <w:szCs w:val="24"/>
    </w:rPr>
  </w:style>
  <w:style w:type="character" w:styleId="211" w:customStyle="1">
    <w:name w:val="Основной текст 2 Знак1"/>
    <w:basedOn w:val="DefaultParagraphFont"/>
    <w:uiPriority w:val="99"/>
    <w:semiHidden/>
    <w:qFormat/>
    <w:rsid w:val="009644a8"/>
    <w:rPr>
      <w:rFonts w:ascii="Times New Roman" w:hAnsi="Times New Roman"/>
      <w:sz w:val="24"/>
      <w:szCs w:val="24"/>
    </w:rPr>
  </w:style>
  <w:style w:type="character" w:styleId="311" w:customStyle="1">
    <w:name w:val="Основной текст 3 Знак1"/>
    <w:basedOn w:val="DefaultParagraphFont"/>
    <w:uiPriority w:val="99"/>
    <w:semiHidden/>
    <w:qFormat/>
    <w:rsid w:val="009644a8"/>
    <w:rPr>
      <w:rFonts w:ascii="Times New Roman" w:hAnsi="Times New Roman"/>
      <w:sz w:val="16"/>
      <w:szCs w:val="16"/>
    </w:rPr>
  </w:style>
  <w:style w:type="character" w:styleId="212" w:customStyle="1">
    <w:name w:val="Основной текст с отступом 2 Знак1"/>
    <w:basedOn w:val="DefaultParagraphFont"/>
    <w:uiPriority w:val="99"/>
    <w:semiHidden/>
    <w:qFormat/>
    <w:rsid w:val="009644a8"/>
    <w:rPr>
      <w:rFonts w:ascii="Times New Roman" w:hAnsi="Times New Roman"/>
      <w:sz w:val="24"/>
      <w:szCs w:val="24"/>
    </w:rPr>
  </w:style>
  <w:style w:type="character" w:styleId="312" w:customStyle="1">
    <w:name w:val="Основной текст с отступом 3 Знак1"/>
    <w:basedOn w:val="DefaultParagraphFont"/>
    <w:uiPriority w:val="99"/>
    <w:semiHidden/>
    <w:qFormat/>
    <w:rsid w:val="009644a8"/>
    <w:rPr>
      <w:rFonts w:ascii="Times New Roman" w:hAnsi="Times New Roman"/>
      <w:sz w:val="16"/>
      <w:szCs w:val="16"/>
    </w:rPr>
  </w:style>
  <w:style w:type="character" w:styleId="114" w:customStyle="1">
    <w:name w:val="Схема документа Знак1"/>
    <w:basedOn w:val="DefaultParagraphFont"/>
    <w:uiPriority w:val="99"/>
    <w:semiHidden/>
    <w:qFormat/>
    <w:rsid w:val="009644a8"/>
    <w:rPr>
      <w:rFonts w:ascii="Tahoma" w:hAnsi="Tahoma" w:cs="Tahoma"/>
      <w:sz w:val="16"/>
      <w:szCs w:val="16"/>
    </w:rPr>
  </w:style>
  <w:style w:type="character" w:styleId="115" w:customStyle="1">
    <w:name w:val="Тема примечания Знак1"/>
    <w:basedOn w:val="14"/>
    <w:uiPriority w:val="99"/>
    <w:semiHidden/>
    <w:qFormat/>
    <w:rsid w:val="009644a8"/>
    <w:rPr>
      <w:rFonts w:ascii="Times New Roman" w:hAnsi="Times New Roman"/>
      <w:b/>
      <w:bCs/>
    </w:rPr>
  </w:style>
  <w:style w:type="character" w:styleId="116" w:customStyle="1">
    <w:name w:val="Текст выноски Знак1"/>
    <w:basedOn w:val="DefaultParagraphFont"/>
    <w:uiPriority w:val="99"/>
    <w:semiHidden/>
    <w:qFormat/>
    <w:rsid w:val="009644a8"/>
    <w:rPr>
      <w:rFonts w:ascii="Tahoma" w:hAnsi="Tahoma" w:cs="Tahoma"/>
      <w:sz w:val="16"/>
      <w:szCs w:val="16"/>
    </w:rPr>
  </w:style>
  <w:style w:type="character" w:styleId="Style22" w:customStyle="1">
    <w:name w:val="Обычный (веб) Знак"/>
    <w:qFormat/>
    <w:locked/>
    <w:rsid w:val="009644a8"/>
    <w:rPr>
      <w:rFonts w:ascii="Times New Roman" w:hAnsi="Times New Roman" w:eastAsia="Times New Roman" w:cs="Times New Roman"/>
      <w:sz w:val="24"/>
      <w:szCs w:val="24"/>
    </w:rPr>
  </w:style>
  <w:style w:type="character" w:styleId="FontStyle11" w:customStyle="1">
    <w:name w:val="Font Style11"/>
    <w:qFormat/>
    <w:rsid w:val="009644a8"/>
    <w:rPr>
      <w:rFonts w:ascii="Times New Roman" w:hAnsi="Times New Roman" w:cs="Times New Roman"/>
      <w:b/>
      <w:bCs/>
      <w:sz w:val="20"/>
      <w:szCs w:val="20"/>
    </w:rPr>
  </w:style>
  <w:style w:type="character" w:styleId="FontStyle19" w:customStyle="1">
    <w:name w:val="Font Style19"/>
    <w:qFormat/>
    <w:rsid w:val="009644a8"/>
    <w:rPr>
      <w:rFonts w:ascii="Times New Roman" w:hAnsi="Times New Roman" w:cs="Times New Roman"/>
      <w:sz w:val="24"/>
      <w:szCs w:val="24"/>
    </w:rPr>
  </w:style>
  <w:style w:type="character" w:styleId="Appleconvertedspace" w:customStyle="1">
    <w:name w:val="apple-converted-space"/>
    <w:qFormat/>
    <w:rsid w:val="009644a8"/>
    <w:rPr/>
  </w:style>
  <w:style w:type="character" w:styleId="Match" w:customStyle="1">
    <w:name w:val="match"/>
    <w:qFormat/>
    <w:rsid w:val="009644a8"/>
    <w:rPr/>
  </w:style>
  <w:style w:type="character" w:styleId="Style23" w:customStyle="1">
    <w:name w:val="Основной текст + Полужирный"/>
    <w:qFormat/>
    <w:rsid w:val="009644a8"/>
    <w:rPr>
      <w:rFonts w:ascii="Times New Roman" w:hAnsi="Times New Roman" w:cs="Times New Roman"/>
      <w:b/>
      <w:bCs/>
      <w:spacing w:val="0"/>
      <w:sz w:val="28"/>
      <w:szCs w:val="28"/>
    </w:rPr>
  </w:style>
  <w:style w:type="character" w:styleId="Tahoma" w:customStyle="1">
    <w:name w:val="Основной текст + Tahoma"/>
    <w:qFormat/>
    <w:rsid w:val="009644a8"/>
    <w:rPr>
      <w:rFonts w:ascii="Sylfaen" w:hAnsi="Sylfaen" w:eastAsia="Sylfaen" w:cs="Sylfaen"/>
      <w:i w:val="false"/>
      <w:iCs w:val="false"/>
      <w:caps w:val="false"/>
      <w:smallCaps w:val="false"/>
      <w:color w:val="000000"/>
      <w:spacing w:val="0"/>
      <w:w w:val="100"/>
      <w:sz w:val="15"/>
      <w:szCs w:val="15"/>
      <w:effect w:val="none"/>
      <w:shd w:fill="FFFFFF" w:val="clear"/>
    </w:rPr>
  </w:style>
  <w:style w:type="character" w:styleId="117" w:customStyle="1">
    <w:name w:val="Основной текст1"/>
    <w:qFormat/>
    <w:rsid w:val="009644a8"/>
    <w:rPr>
      <w:rFonts w:ascii="Times New Roman" w:hAnsi="Times New Roman" w:eastAsia="Times New Roman" w:cs="Times New Roman"/>
      <w:i w:val="false"/>
      <w:iCs w:val="false"/>
      <w:caps w:val="false"/>
      <w:smallCaps w:val="false"/>
      <w:color w:val="000000"/>
      <w:spacing w:val="4"/>
      <w:w w:val="100"/>
      <w:sz w:val="21"/>
      <w:szCs w:val="21"/>
      <w:effect w:val="none"/>
      <w:shd w:fill="FFFFFF" w:val="clear"/>
      <w:lang w:val="ru-RU"/>
    </w:rPr>
  </w:style>
  <w:style w:type="character" w:styleId="Font1" w:customStyle="1">
    <w:name w:val="font1"/>
    <w:qFormat/>
    <w:rsid w:val="009644a8"/>
    <w:rPr>
      <w:rFonts w:ascii="Verdana" w:hAnsi="Verdana"/>
      <w:sz w:val="16"/>
      <w:szCs w:val="16"/>
    </w:rPr>
  </w:style>
  <w:style w:type="character" w:styleId="181" w:customStyle="1">
    <w:name w:val="Основной текст (18)_"/>
    <w:qFormat/>
    <w:rsid w:val="009644a8"/>
    <w:rPr>
      <w:b/>
      <w:bCs/>
      <w:sz w:val="28"/>
      <w:szCs w:val="28"/>
      <w:lang w:bidi="ar-SA"/>
    </w:rPr>
  </w:style>
  <w:style w:type="character" w:styleId="182" w:customStyle="1">
    <w:name w:val="Основной текст (18) + Не полужирный"/>
    <w:qFormat/>
    <w:rsid w:val="009644a8"/>
    <w:rPr>
      <w:rFonts w:ascii="Times New Roman" w:hAnsi="Times New Roman" w:cs="Times New Roman"/>
      <w:b/>
      <w:bCs/>
      <w:spacing w:val="0"/>
      <w:sz w:val="28"/>
      <w:szCs w:val="28"/>
      <w:lang w:bidi="ar-SA"/>
    </w:rPr>
  </w:style>
  <w:style w:type="character" w:styleId="52" w:customStyle="1">
    <w:name w:val="Основной текст + Полужирный5"/>
    <w:qFormat/>
    <w:rsid w:val="009644a8"/>
    <w:rPr>
      <w:rFonts w:ascii="Times New Roman" w:hAnsi="Times New Roman" w:cs="Times New Roman"/>
      <w:b/>
      <w:bCs/>
      <w:spacing w:val="0"/>
      <w:sz w:val="28"/>
      <w:szCs w:val="28"/>
    </w:rPr>
  </w:style>
  <w:style w:type="character" w:styleId="731" w:customStyle="1">
    <w:name w:val="Заголовок №7 (3)"/>
    <w:qFormat/>
    <w:rsid w:val="009644a8"/>
    <w:rPr>
      <w:i/>
      <w:iCs/>
      <w:sz w:val="28"/>
      <w:szCs w:val="28"/>
      <w:shd w:fill="FFFFFF" w:val="clear"/>
    </w:rPr>
  </w:style>
  <w:style w:type="character" w:styleId="10pt1" w:customStyle="1">
    <w:name w:val="Основной текст + 10 pt1"/>
    <w:qFormat/>
    <w:rsid w:val="009644a8"/>
    <w:rPr>
      <w:rFonts w:ascii="Times New Roman" w:hAnsi="Times New Roman" w:cs="Times New Roman"/>
      <w:i/>
      <w:iCs/>
      <w:spacing w:val="0"/>
      <w:sz w:val="20"/>
      <w:szCs w:val="20"/>
    </w:rPr>
  </w:style>
  <w:style w:type="character" w:styleId="Style24" w:customStyle="1">
    <w:name w:val="Основной текст + Курсив"/>
    <w:qFormat/>
    <w:rsid w:val="009644a8"/>
    <w:rPr>
      <w:rFonts w:ascii="Times New Roman" w:hAnsi="Times New Roman" w:cs="Times New Roman"/>
      <w:i/>
      <w:iCs/>
      <w:spacing w:val="0"/>
      <w:sz w:val="28"/>
      <w:szCs w:val="28"/>
    </w:rPr>
  </w:style>
  <w:style w:type="character" w:styleId="42" w:customStyle="1">
    <w:name w:val="Основной текст + Полужирный4"/>
    <w:qFormat/>
    <w:rsid w:val="009644a8"/>
    <w:rPr>
      <w:rFonts w:ascii="Times New Roman" w:hAnsi="Times New Roman" w:cs="Times New Roman"/>
      <w:b/>
      <w:bCs/>
      <w:spacing w:val="0"/>
      <w:sz w:val="28"/>
      <w:szCs w:val="28"/>
    </w:rPr>
  </w:style>
  <w:style w:type="character" w:styleId="71pt" w:customStyle="1">
    <w:name w:val="Заголовок №7 + Интервал 1 pt"/>
    <w:qFormat/>
    <w:rsid w:val="009644a8"/>
    <w:rPr>
      <w:rFonts w:ascii="Times New Roman" w:hAnsi="Times New Roman" w:cs="Times New Roman"/>
      <w:spacing w:val="30"/>
      <w:sz w:val="28"/>
      <w:szCs w:val="28"/>
      <w:shd w:fill="FFFFFF" w:val="clear"/>
    </w:rPr>
  </w:style>
  <w:style w:type="character" w:styleId="25" w:customStyle="1">
    <w:name w:val="_Основной текст Знак2"/>
    <w:link w:val="afff1"/>
    <w:qFormat/>
    <w:rsid w:val="00212bd0"/>
    <w:rPr>
      <w:rFonts w:ascii="Times New Roman" w:hAnsi="Times New Roman" w:eastAsia="Times New Roman"/>
      <w:sz w:val="24"/>
      <w:szCs w:val="24"/>
    </w:rPr>
  </w:style>
  <w:style w:type="character" w:styleId="Style25" w:customStyle="1">
    <w:name w:val="Гипертекстовая ссылка"/>
    <w:uiPriority w:val="99"/>
    <w:qFormat/>
    <w:rsid w:val="00be5376"/>
    <w:rPr>
      <w:b w:val="false"/>
      <w:bCs w:val="false"/>
      <w:color w:val="106BBE"/>
    </w:rPr>
  </w:style>
  <w:style w:type="character" w:styleId="118" w:customStyle="1">
    <w:name w:val="Текст1 Знак"/>
    <w:link w:val="19"/>
    <w:qFormat/>
    <w:rsid w:val="003d0e6f"/>
    <w:rPr>
      <w:rFonts w:ascii="Courier New" w:hAnsi="Courier New" w:eastAsia="Times New Roman"/>
    </w:rPr>
  </w:style>
  <w:style w:type="character" w:styleId="PlaceholderText">
    <w:name w:val="Placeholder Text"/>
    <w:basedOn w:val="DefaultParagraphFont"/>
    <w:uiPriority w:val="99"/>
    <w:semiHidden/>
    <w:qFormat/>
    <w:rsid w:val="00aa1c3e"/>
    <w:rPr>
      <w:color w:val="808080"/>
    </w:rPr>
  </w:style>
  <w:style w:type="character" w:styleId="ConsPlusNormal" w:customStyle="1">
    <w:name w:val="ConsPlusNormal Знак"/>
    <w:link w:val="ConsPlusNormal"/>
    <w:qFormat/>
    <w:rsid w:val="00ad2a4c"/>
    <w:rPr>
      <w:rFonts w:ascii="Arial" w:hAnsi="Arial" w:eastAsia="Times New Roman" w:cs="Arial"/>
    </w:rPr>
  </w:style>
  <w:style w:type="character" w:styleId="ListLabel1">
    <w:name w:val="ListLabel 1"/>
    <w:qFormat/>
    <w:rPr>
      <w:rFonts w:cs="Courier New"/>
    </w:rPr>
  </w:style>
  <w:style w:type="character" w:styleId="ListLabel2">
    <w:name w:val="ListLabel 2"/>
    <w:qFormat/>
    <w:rPr>
      <w:rFonts w:cs="Courier New"/>
    </w:rPr>
  </w:style>
  <w:style w:type="character" w:styleId="ListLabel3">
    <w:name w:val="ListLabel 3"/>
    <w:qFormat/>
    <w:rPr>
      <w:rFonts w:cs="Courier New"/>
    </w:rPr>
  </w:style>
  <w:style w:type="character" w:styleId="ListLabel4">
    <w:name w:val="ListLabel 4"/>
    <w:qFormat/>
    <w:rPr>
      <w:rFonts w:cs="Courier New"/>
    </w:rPr>
  </w:style>
  <w:style w:type="character" w:styleId="ListLabel5">
    <w:name w:val="ListLabel 5"/>
    <w:qFormat/>
    <w:rPr>
      <w:rFonts w:cs="Courier New"/>
    </w:rPr>
  </w:style>
  <w:style w:type="character" w:styleId="ListLabel6">
    <w:name w:val="ListLabel 6"/>
    <w:qFormat/>
    <w:rPr>
      <w:rFonts w:cs="Courier New"/>
    </w:rPr>
  </w:style>
  <w:style w:type="character" w:styleId="ListLabel7">
    <w:name w:val="ListLabel 7"/>
    <w:qFormat/>
    <w:rPr>
      <w:b w:val="false"/>
      <w:bCs w:val="false"/>
      <w:i w:val="false"/>
      <w:iCs w:val="false"/>
      <w:caps w:val="false"/>
      <w:smallCaps w:val="false"/>
      <w:strike w:val="false"/>
      <w:dstrike w:val="false"/>
      <w:color w:val="000000"/>
      <w:spacing w:val="0"/>
      <w:w w:val="100"/>
      <w:sz w:val="23"/>
      <w:szCs w:val="23"/>
      <w:u w:val="none"/>
    </w:rPr>
  </w:style>
  <w:style w:type="character" w:styleId="ListLabel8">
    <w:name w:val="ListLabel 8"/>
    <w:qFormat/>
    <w:rPr>
      <w:b w:val="false"/>
      <w:bCs w:val="false"/>
      <w:i w:val="false"/>
      <w:iCs w:val="false"/>
      <w:caps w:val="false"/>
      <w:smallCaps w:val="false"/>
      <w:strike w:val="false"/>
      <w:dstrike w:val="false"/>
      <w:color w:val="000000"/>
      <w:spacing w:val="0"/>
      <w:w w:val="100"/>
      <w:sz w:val="23"/>
      <w:szCs w:val="23"/>
      <w:u w:val="none"/>
    </w:rPr>
  </w:style>
  <w:style w:type="character" w:styleId="ListLabel9">
    <w:name w:val="ListLabel 9"/>
    <w:qFormat/>
    <w:rPr>
      <w:b w:val="false"/>
      <w:bCs w:val="false"/>
      <w:i w:val="false"/>
      <w:iCs w:val="false"/>
      <w:caps w:val="false"/>
      <w:smallCaps w:val="false"/>
      <w:strike w:val="false"/>
      <w:dstrike w:val="false"/>
      <w:color w:val="000000"/>
      <w:spacing w:val="0"/>
      <w:w w:val="100"/>
      <w:sz w:val="23"/>
      <w:szCs w:val="23"/>
      <w:u w:val="none"/>
    </w:rPr>
  </w:style>
  <w:style w:type="character" w:styleId="ListLabel10">
    <w:name w:val="ListLabel 10"/>
    <w:qFormat/>
    <w:rPr>
      <w:b w:val="false"/>
      <w:bCs w:val="false"/>
      <w:i w:val="false"/>
      <w:iCs w:val="false"/>
      <w:caps w:val="false"/>
      <w:smallCaps w:val="false"/>
      <w:strike w:val="false"/>
      <w:dstrike w:val="false"/>
      <w:color w:val="000000"/>
      <w:spacing w:val="0"/>
      <w:w w:val="100"/>
      <w:sz w:val="23"/>
      <w:szCs w:val="23"/>
      <w:u w:val="none"/>
    </w:rPr>
  </w:style>
  <w:style w:type="character" w:styleId="ListLabel11">
    <w:name w:val="ListLabel 11"/>
    <w:qFormat/>
    <w:rPr>
      <w:b w:val="false"/>
      <w:bCs w:val="false"/>
      <w:i w:val="false"/>
      <w:iCs w:val="false"/>
      <w:caps w:val="false"/>
      <w:smallCaps w:val="false"/>
      <w:strike w:val="false"/>
      <w:dstrike w:val="false"/>
      <w:color w:val="000000"/>
      <w:spacing w:val="0"/>
      <w:w w:val="100"/>
      <w:sz w:val="23"/>
      <w:szCs w:val="23"/>
      <w:u w:val="none"/>
    </w:rPr>
  </w:style>
  <w:style w:type="character" w:styleId="ListLabel12">
    <w:name w:val="ListLabel 12"/>
    <w:qFormat/>
    <w:rPr>
      <w:b w:val="false"/>
      <w:bCs w:val="false"/>
      <w:i w:val="false"/>
      <w:iCs w:val="false"/>
      <w:caps w:val="false"/>
      <w:smallCaps w:val="false"/>
      <w:strike w:val="false"/>
      <w:dstrike w:val="false"/>
      <w:color w:val="000000"/>
      <w:spacing w:val="0"/>
      <w:w w:val="100"/>
      <w:sz w:val="23"/>
      <w:szCs w:val="23"/>
      <w:u w:val="none"/>
    </w:rPr>
  </w:style>
  <w:style w:type="character" w:styleId="ListLabel13">
    <w:name w:val="ListLabel 13"/>
    <w:qFormat/>
    <w:rPr>
      <w:b w:val="false"/>
      <w:bCs w:val="false"/>
      <w:i w:val="false"/>
      <w:iCs w:val="false"/>
      <w:caps w:val="false"/>
      <w:smallCaps w:val="false"/>
      <w:strike w:val="false"/>
      <w:dstrike w:val="false"/>
      <w:color w:val="000000"/>
      <w:spacing w:val="0"/>
      <w:w w:val="100"/>
      <w:sz w:val="23"/>
      <w:szCs w:val="23"/>
      <w:u w:val="none"/>
    </w:rPr>
  </w:style>
  <w:style w:type="character" w:styleId="ListLabel14">
    <w:name w:val="ListLabel 14"/>
    <w:qFormat/>
    <w:rPr>
      <w:b w:val="false"/>
      <w:bCs w:val="false"/>
      <w:i w:val="false"/>
      <w:iCs w:val="false"/>
      <w:caps w:val="false"/>
      <w:smallCaps w:val="false"/>
      <w:strike w:val="false"/>
      <w:dstrike w:val="false"/>
      <w:color w:val="000000"/>
      <w:spacing w:val="0"/>
      <w:w w:val="100"/>
      <w:sz w:val="23"/>
      <w:szCs w:val="23"/>
      <w:u w:val="none"/>
    </w:rPr>
  </w:style>
  <w:style w:type="character" w:styleId="ListLabel15">
    <w:name w:val="ListLabel 15"/>
    <w:qFormat/>
    <w:rPr>
      <w:b w:val="false"/>
      <w:bCs w:val="false"/>
      <w:i w:val="false"/>
      <w:iCs w:val="false"/>
      <w:caps w:val="false"/>
      <w:smallCaps w:val="false"/>
      <w:strike w:val="false"/>
      <w:dstrike w:val="false"/>
      <w:color w:val="000000"/>
      <w:spacing w:val="0"/>
      <w:w w:val="100"/>
      <w:sz w:val="23"/>
      <w:szCs w:val="23"/>
      <w:u w:val="none"/>
    </w:rPr>
  </w:style>
  <w:style w:type="character" w:styleId="ListLabel16">
    <w:name w:val="ListLabel 16"/>
    <w:qFormat/>
    <w:rPr>
      <w:b/>
      <w:bCs/>
      <w:i w:val="false"/>
      <w:iCs w:val="false"/>
      <w:caps w:val="false"/>
      <w:smallCaps w:val="false"/>
      <w:strike w:val="false"/>
      <w:dstrike w:val="false"/>
      <w:color w:val="000000"/>
      <w:spacing w:val="0"/>
      <w:w w:val="100"/>
      <w:sz w:val="23"/>
      <w:szCs w:val="23"/>
      <w:u w:val="none"/>
    </w:rPr>
  </w:style>
  <w:style w:type="character" w:styleId="ListLabel17">
    <w:name w:val="ListLabel 17"/>
    <w:qFormat/>
    <w:rPr>
      <w:b/>
      <w:bCs/>
      <w:i w:val="false"/>
      <w:iCs w:val="false"/>
      <w:caps w:val="false"/>
      <w:smallCaps w:val="false"/>
      <w:strike w:val="false"/>
      <w:dstrike w:val="false"/>
      <w:color w:val="000000"/>
      <w:spacing w:val="0"/>
      <w:w w:val="100"/>
      <w:sz w:val="23"/>
      <w:szCs w:val="23"/>
      <w:u w:val="none"/>
    </w:rPr>
  </w:style>
  <w:style w:type="character" w:styleId="ListLabel18">
    <w:name w:val="ListLabel 18"/>
    <w:qFormat/>
    <w:rPr>
      <w:b/>
      <w:bCs/>
      <w:i w:val="false"/>
      <w:iCs w:val="false"/>
      <w:caps w:val="false"/>
      <w:smallCaps w:val="false"/>
      <w:strike w:val="false"/>
      <w:dstrike w:val="false"/>
      <w:color w:val="000000"/>
      <w:spacing w:val="0"/>
      <w:w w:val="100"/>
      <w:sz w:val="23"/>
      <w:szCs w:val="23"/>
      <w:u w:val="none"/>
    </w:rPr>
  </w:style>
  <w:style w:type="character" w:styleId="ListLabel19">
    <w:name w:val="ListLabel 19"/>
    <w:qFormat/>
    <w:rPr>
      <w:b/>
      <w:bCs/>
      <w:i w:val="false"/>
      <w:iCs w:val="false"/>
      <w:caps w:val="false"/>
      <w:smallCaps w:val="false"/>
      <w:strike w:val="false"/>
      <w:dstrike w:val="false"/>
      <w:color w:val="000000"/>
      <w:spacing w:val="0"/>
      <w:w w:val="100"/>
      <w:sz w:val="23"/>
      <w:szCs w:val="23"/>
      <w:u w:val="none"/>
    </w:rPr>
  </w:style>
  <w:style w:type="character" w:styleId="ListLabel20">
    <w:name w:val="ListLabel 20"/>
    <w:qFormat/>
    <w:rPr>
      <w:b/>
      <w:bCs/>
      <w:i w:val="false"/>
      <w:iCs w:val="false"/>
      <w:caps w:val="false"/>
      <w:smallCaps w:val="false"/>
      <w:strike w:val="false"/>
      <w:dstrike w:val="false"/>
      <w:color w:val="000000"/>
      <w:spacing w:val="0"/>
      <w:w w:val="100"/>
      <w:sz w:val="23"/>
      <w:szCs w:val="23"/>
      <w:u w:val="none"/>
    </w:rPr>
  </w:style>
  <w:style w:type="character" w:styleId="ListLabel21">
    <w:name w:val="ListLabel 21"/>
    <w:qFormat/>
    <w:rPr>
      <w:b/>
      <w:bCs/>
      <w:i w:val="false"/>
      <w:iCs w:val="false"/>
      <w:caps w:val="false"/>
      <w:smallCaps w:val="false"/>
      <w:strike w:val="false"/>
      <w:dstrike w:val="false"/>
      <w:color w:val="000000"/>
      <w:spacing w:val="0"/>
      <w:w w:val="100"/>
      <w:sz w:val="23"/>
      <w:szCs w:val="23"/>
      <w:u w:val="none"/>
    </w:rPr>
  </w:style>
  <w:style w:type="character" w:styleId="ListLabel22">
    <w:name w:val="ListLabel 22"/>
    <w:qFormat/>
    <w:rPr>
      <w:b/>
      <w:bCs/>
      <w:i w:val="false"/>
      <w:iCs w:val="false"/>
      <w:caps w:val="false"/>
      <w:smallCaps w:val="false"/>
      <w:strike w:val="false"/>
      <w:dstrike w:val="false"/>
      <w:color w:val="000000"/>
      <w:spacing w:val="0"/>
      <w:w w:val="100"/>
      <w:sz w:val="23"/>
      <w:szCs w:val="23"/>
      <w:u w:val="none"/>
    </w:rPr>
  </w:style>
  <w:style w:type="character" w:styleId="ListLabel23">
    <w:name w:val="ListLabel 23"/>
    <w:qFormat/>
    <w:rPr>
      <w:b/>
      <w:bCs/>
      <w:i w:val="false"/>
      <w:iCs w:val="false"/>
      <w:caps w:val="false"/>
      <w:smallCaps w:val="false"/>
      <w:strike w:val="false"/>
      <w:dstrike w:val="false"/>
      <w:color w:val="000000"/>
      <w:spacing w:val="0"/>
      <w:w w:val="100"/>
      <w:sz w:val="23"/>
      <w:szCs w:val="23"/>
      <w:u w:val="none"/>
    </w:rPr>
  </w:style>
  <w:style w:type="character" w:styleId="ListLabel24">
    <w:name w:val="ListLabel 24"/>
    <w:qFormat/>
    <w:rPr>
      <w:b/>
      <w:bCs/>
      <w:i w:val="false"/>
      <w:iCs w:val="false"/>
      <w:caps w:val="false"/>
      <w:smallCaps w:val="false"/>
      <w:strike w:val="false"/>
      <w:dstrike w:val="false"/>
      <w:color w:val="000000"/>
      <w:spacing w:val="0"/>
      <w:w w:val="100"/>
      <w:sz w:val="23"/>
      <w:szCs w:val="23"/>
      <w:u w:val="none"/>
    </w:rPr>
  </w:style>
  <w:style w:type="character" w:styleId="ListLabel25">
    <w:name w:val="ListLabel 25"/>
    <w:qFormat/>
    <w:rPr>
      <w:b w:val="false"/>
      <w:bCs w:val="false"/>
      <w:i w:val="false"/>
      <w:iCs w:val="false"/>
      <w:caps w:val="false"/>
      <w:smallCaps w:val="false"/>
      <w:strike w:val="false"/>
      <w:dstrike w:val="false"/>
      <w:color w:val="000000"/>
      <w:spacing w:val="0"/>
      <w:w w:val="100"/>
      <w:sz w:val="23"/>
      <w:szCs w:val="23"/>
      <w:u w:val="none"/>
    </w:rPr>
  </w:style>
  <w:style w:type="character" w:styleId="ListLabel26">
    <w:name w:val="ListLabel 26"/>
    <w:qFormat/>
    <w:rPr>
      <w:b w:val="false"/>
      <w:bCs w:val="false"/>
      <w:i w:val="false"/>
      <w:iCs w:val="false"/>
      <w:caps w:val="false"/>
      <w:smallCaps w:val="false"/>
      <w:strike w:val="false"/>
      <w:dstrike w:val="false"/>
      <w:color w:val="000000"/>
      <w:spacing w:val="0"/>
      <w:w w:val="100"/>
      <w:sz w:val="23"/>
      <w:szCs w:val="23"/>
      <w:u w:val="none"/>
    </w:rPr>
  </w:style>
  <w:style w:type="character" w:styleId="ListLabel27">
    <w:name w:val="ListLabel 27"/>
    <w:qFormat/>
    <w:rPr>
      <w:b w:val="false"/>
      <w:bCs w:val="false"/>
      <w:i w:val="false"/>
      <w:iCs w:val="false"/>
      <w:caps w:val="false"/>
      <w:smallCaps w:val="false"/>
      <w:strike w:val="false"/>
      <w:dstrike w:val="false"/>
      <w:color w:val="000000"/>
      <w:spacing w:val="0"/>
      <w:w w:val="100"/>
      <w:sz w:val="23"/>
      <w:szCs w:val="23"/>
      <w:u w:val="none"/>
    </w:rPr>
  </w:style>
  <w:style w:type="character" w:styleId="ListLabel28">
    <w:name w:val="ListLabel 28"/>
    <w:qFormat/>
    <w:rPr>
      <w:b w:val="false"/>
      <w:bCs w:val="false"/>
      <w:i w:val="false"/>
      <w:iCs w:val="false"/>
      <w:caps w:val="false"/>
      <w:smallCaps w:val="false"/>
      <w:strike w:val="false"/>
      <w:dstrike w:val="false"/>
      <w:color w:val="000000"/>
      <w:spacing w:val="0"/>
      <w:w w:val="100"/>
      <w:sz w:val="23"/>
      <w:szCs w:val="23"/>
      <w:u w:val="none"/>
    </w:rPr>
  </w:style>
  <w:style w:type="character" w:styleId="ListLabel29">
    <w:name w:val="ListLabel 29"/>
    <w:qFormat/>
    <w:rPr>
      <w:b w:val="false"/>
      <w:bCs w:val="false"/>
      <w:i w:val="false"/>
      <w:iCs w:val="false"/>
      <w:caps w:val="false"/>
      <w:smallCaps w:val="false"/>
      <w:strike w:val="false"/>
      <w:dstrike w:val="false"/>
      <w:color w:val="000000"/>
      <w:spacing w:val="0"/>
      <w:w w:val="100"/>
      <w:sz w:val="23"/>
      <w:szCs w:val="23"/>
      <w:u w:val="none"/>
    </w:rPr>
  </w:style>
  <w:style w:type="character" w:styleId="ListLabel30">
    <w:name w:val="ListLabel 30"/>
    <w:qFormat/>
    <w:rPr>
      <w:b w:val="false"/>
      <w:bCs w:val="false"/>
      <w:i w:val="false"/>
      <w:iCs w:val="false"/>
      <w:caps w:val="false"/>
      <w:smallCaps w:val="false"/>
      <w:strike w:val="false"/>
      <w:dstrike w:val="false"/>
      <w:color w:val="000000"/>
      <w:spacing w:val="0"/>
      <w:w w:val="100"/>
      <w:sz w:val="23"/>
      <w:szCs w:val="23"/>
      <w:u w:val="none"/>
    </w:rPr>
  </w:style>
  <w:style w:type="character" w:styleId="ListLabel31">
    <w:name w:val="ListLabel 31"/>
    <w:qFormat/>
    <w:rPr>
      <w:b w:val="false"/>
      <w:bCs w:val="false"/>
      <w:i w:val="false"/>
      <w:iCs w:val="false"/>
      <w:caps w:val="false"/>
      <w:smallCaps w:val="false"/>
      <w:strike w:val="false"/>
      <w:dstrike w:val="false"/>
      <w:color w:val="000000"/>
      <w:spacing w:val="0"/>
      <w:w w:val="100"/>
      <w:sz w:val="23"/>
      <w:szCs w:val="23"/>
      <w:u w:val="none"/>
    </w:rPr>
  </w:style>
  <w:style w:type="character" w:styleId="ListLabel32">
    <w:name w:val="ListLabel 32"/>
    <w:qFormat/>
    <w:rPr>
      <w:b w:val="false"/>
      <w:bCs w:val="false"/>
      <w:i w:val="false"/>
      <w:iCs w:val="false"/>
      <w:caps w:val="false"/>
      <w:smallCaps w:val="false"/>
      <w:strike w:val="false"/>
      <w:dstrike w:val="false"/>
      <w:color w:val="000000"/>
      <w:spacing w:val="0"/>
      <w:w w:val="100"/>
      <w:sz w:val="23"/>
      <w:szCs w:val="23"/>
      <w:u w:val="none"/>
    </w:rPr>
  </w:style>
  <w:style w:type="character" w:styleId="ListLabel33">
    <w:name w:val="ListLabel 33"/>
    <w:qFormat/>
    <w:rPr>
      <w:b w:val="false"/>
      <w:bCs w:val="false"/>
      <w:i w:val="false"/>
      <w:iCs w:val="false"/>
      <w:caps w:val="false"/>
      <w:smallCaps w:val="false"/>
      <w:strike w:val="false"/>
      <w:dstrike w:val="false"/>
      <w:color w:val="000000"/>
      <w:spacing w:val="0"/>
      <w:w w:val="100"/>
      <w:sz w:val="23"/>
      <w:szCs w:val="23"/>
      <w:u w:val="none"/>
    </w:rPr>
  </w:style>
  <w:style w:type="character" w:styleId="ListLabel34">
    <w:name w:val="ListLabel 34"/>
    <w:qFormat/>
    <w:rPr>
      <w:b w:val="false"/>
      <w:bCs w:val="false"/>
      <w:i w:val="false"/>
      <w:iCs w:val="false"/>
      <w:caps w:val="false"/>
      <w:smallCaps w:val="false"/>
      <w:strike w:val="false"/>
      <w:dstrike w:val="false"/>
      <w:color w:val="000000"/>
      <w:spacing w:val="0"/>
      <w:w w:val="100"/>
      <w:sz w:val="23"/>
      <w:szCs w:val="23"/>
      <w:u w:val="none"/>
    </w:rPr>
  </w:style>
  <w:style w:type="character" w:styleId="ListLabel35">
    <w:name w:val="ListLabel 35"/>
    <w:qFormat/>
    <w:rPr>
      <w:b w:val="false"/>
      <w:bCs w:val="false"/>
      <w:i w:val="false"/>
      <w:iCs w:val="false"/>
      <w:caps w:val="false"/>
      <w:smallCaps w:val="false"/>
      <w:strike w:val="false"/>
      <w:dstrike w:val="false"/>
      <w:color w:val="000000"/>
      <w:spacing w:val="0"/>
      <w:w w:val="100"/>
      <w:sz w:val="23"/>
      <w:szCs w:val="23"/>
      <w:u w:val="none"/>
    </w:rPr>
  </w:style>
  <w:style w:type="character" w:styleId="ListLabel36">
    <w:name w:val="ListLabel 36"/>
    <w:qFormat/>
    <w:rPr>
      <w:b w:val="false"/>
      <w:bCs w:val="false"/>
      <w:i w:val="false"/>
      <w:iCs w:val="false"/>
      <w:caps w:val="false"/>
      <w:smallCaps w:val="false"/>
      <w:strike w:val="false"/>
      <w:dstrike w:val="false"/>
      <w:color w:val="000000"/>
      <w:spacing w:val="0"/>
      <w:w w:val="100"/>
      <w:sz w:val="23"/>
      <w:szCs w:val="23"/>
      <w:u w:val="none"/>
    </w:rPr>
  </w:style>
  <w:style w:type="character" w:styleId="ListLabel37">
    <w:name w:val="ListLabel 37"/>
    <w:qFormat/>
    <w:rPr>
      <w:b w:val="false"/>
      <w:bCs w:val="false"/>
      <w:i w:val="false"/>
      <w:iCs w:val="false"/>
      <w:caps w:val="false"/>
      <w:smallCaps w:val="false"/>
      <w:strike w:val="false"/>
      <w:dstrike w:val="false"/>
      <w:color w:val="000000"/>
      <w:spacing w:val="0"/>
      <w:w w:val="100"/>
      <w:sz w:val="23"/>
      <w:szCs w:val="23"/>
      <w:u w:val="none"/>
    </w:rPr>
  </w:style>
  <w:style w:type="character" w:styleId="ListLabel38">
    <w:name w:val="ListLabel 38"/>
    <w:qFormat/>
    <w:rPr>
      <w:b w:val="false"/>
      <w:bCs w:val="false"/>
      <w:i w:val="false"/>
      <w:iCs w:val="false"/>
      <w:caps w:val="false"/>
      <w:smallCaps w:val="false"/>
      <w:strike w:val="false"/>
      <w:dstrike w:val="false"/>
      <w:color w:val="000000"/>
      <w:spacing w:val="0"/>
      <w:w w:val="100"/>
      <w:sz w:val="23"/>
      <w:szCs w:val="23"/>
      <w:u w:val="none"/>
    </w:rPr>
  </w:style>
  <w:style w:type="character" w:styleId="ListLabel39">
    <w:name w:val="ListLabel 39"/>
    <w:qFormat/>
    <w:rPr>
      <w:b w:val="false"/>
      <w:bCs w:val="false"/>
      <w:i w:val="false"/>
      <w:iCs w:val="false"/>
      <w:caps w:val="false"/>
      <w:smallCaps w:val="false"/>
      <w:strike w:val="false"/>
      <w:dstrike w:val="false"/>
      <w:color w:val="000000"/>
      <w:spacing w:val="0"/>
      <w:w w:val="100"/>
      <w:sz w:val="23"/>
      <w:szCs w:val="23"/>
      <w:u w:val="none"/>
    </w:rPr>
  </w:style>
  <w:style w:type="character" w:styleId="ListLabel40">
    <w:name w:val="ListLabel 40"/>
    <w:qFormat/>
    <w:rPr>
      <w:b w:val="false"/>
      <w:bCs w:val="false"/>
      <w:i w:val="false"/>
      <w:iCs w:val="false"/>
      <w:caps w:val="false"/>
      <w:smallCaps w:val="false"/>
      <w:strike w:val="false"/>
      <w:dstrike w:val="false"/>
      <w:color w:val="000000"/>
      <w:spacing w:val="0"/>
      <w:w w:val="100"/>
      <w:sz w:val="23"/>
      <w:szCs w:val="23"/>
      <w:u w:val="none"/>
    </w:rPr>
  </w:style>
  <w:style w:type="character" w:styleId="ListLabel41">
    <w:name w:val="ListLabel 41"/>
    <w:qFormat/>
    <w:rPr>
      <w:b w:val="false"/>
      <w:bCs w:val="false"/>
      <w:i w:val="false"/>
      <w:iCs w:val="false"/>
      <w:caps w:val="false"/>
      <w:smallCaps w:val="false"/>
      <w:strike w:val="false"/>
      <w:dstrike w:val="false"/>
      <w:color w:val="000000"/>
      <w:spacing w:val="0"/>
      <w:w w:val="100"/>
      <w:sz w:val="23"/>
      <w:szCs w:val="23"/>
      <w:u w:val="none"/>
    </w:rPr>
  </w:style>
  <w:style w:type="character" w:styleId="ListLabel42">
    <w:name w:val="ListLabel 42"/>
    <w:qFormat/>
    <w:rPr>
      <w:b w:val="false"/>
      <w:bCs w:val="false"/>
      <w:i w:val="false"/>
      <w:iCs w:val="false"/>
      <w:caps w:val="false"/>
      <w:smallCaps w:val="false"/>
      <w:strike w:val="false"/>
      <w:dstrike w:val="false"/>
      <w:color w:val="000000"/>
      <w:spacing w:val="0"/>
      <w:w w:val="100"/>
      <w:sz w:val="23"/>
      <w:szCs w:val="23"/>
      <w:u w:val="none"/>
    </w:rPr>
  </w:style>
  <w:style w:type="character" w:styleId="ListLabel43">
    <w:name w:val="ListLabel 43"/>
    <w:qFormat/>
    <w:rPr>
      <w:b w:val="false"/>
      <w:bCs w:val="false"/>
      <w:i w:val="false"/>
      <w:iCs w:val="false"/>
      <w:caps w:val="false"/>
      <w:smallCaps w:val="false"/>
      <w:strike w:val="false"/>
      <w:dstrike w:val="false"/>
      <w:color w:val="000000"/>
      <w:spacing w:val="0"/>
      <w:w w:val="100"/>
      <w:sz w:val="23"/>
      <w:szCs w:val="23"/>
      <w:u w:val="none"/>
    </w:rPr>
  </w:style>
  <w:style w:type="character" w:styleId="ListLabel44">
    <w:name w:val="ListLabel 44"/>
    <w:qFormat/>
    <w:rPr>
      <w:b w:val="false"/>
      <w:bCs w:val="false"/>
      <w:i w:val="false"/>
      <w:iCs w:val="false"/>
      <w:caps w:val="false"/>
      <w:smallCaps w:val="false"/>
      <w:strike w:val="false"/>
      <w:dstrike w:val="false"/>
      <w:color w:val="000000"/>
      <w:spacing w:val="0"/>
      <w:w w:val="100"/>
      <w:sz w:val="23"/>
      <w:szCs w:val="23"/>
      <w:u w:val="none"/>
    </w:rPr>
  </w:style>
  <w:style w:type="character" w:styleId="ListLabel45">
    <w:name w:val="ListLabel 45"/>
    <w:qFormat/>
    <w:rPr>
      <w:b w:val="false"/>
      <w:bCs w:val="false"/>
      <w:i w:val="false"/>
      <w:iCs w:val="false"/>
      <w:caps w:val="false"/>
      <w:smallCaps w:val="false"/>
      <w:strike w:val="false"/>
      <w:dstrike w:val="false"/>
      <w:color w:val="000000"/>
      <w:spacing w:val="0"/>
      <w:w w:val="100"/>
      <w:sz w:val="23"/>
      <w:szCs w:val="23"/>
      <w:u w:val="none"/>
    </w:rPr>
  </w:style>
  <w:style w:type="character" w:styleId="ListLabel46">
    <w:name w:val="ListLabel 46"/>
    <w:qFormat/>
    <w:rPr>
      <w:b w:val="false"/>
      <w:bCs w:val="false"/>
      <w:i w:val="false"/>
      <w:iCs w:val="false"/>
      <w:caps w:val="false"/>
      <w:smallCaps w:val="false"/>
      <w:strike w:val="false"/>
      <w:dstrike w:val="false"/>
      <w:color w:val="000000"/>
      <w:spacing w:val="0"/>
      <w:w w:val="100"/>
      <w:sz w:val="23"/>
      <w:szCs w:val="23"/>
      <w:u w:val="none"/>
    </w:rPr>
  </w:style>
  <w:style w:type="character" w:styleId="ListLabel47">
    <w:name w:val="ListLabel 47"/>
    <w:qFormat/>
    <w:rPr>
      <w:b w:val="false"/>
      <w:bCs w:val="false"/>
      <w:i w:val="false"/>
      <w:iCs w:val="false"/>
      <w:caps w:val="false"/>
      <w:smallCaps w:val="false"/>
      <w:strike w:val="false"/>
      <w:dstrike w:val="false"/>
      <w:color w:val="000000"/>
      <w:spacing w:val="0"/>
      <w:w w:val="100"/>
      <w:sz w:val="23"/>
      <w:szCs w:val="23"/>
      <w:u w:val="none"/>
    </w:rPr>
  </w:style>
  <w:style w:type="character" w:styleId="ListLabel48">
    <w:name w:val="ListLabel 48"/>
    <w:qFormat/>
    <w:rPr>
      <w:b w:val="false"/>
      <w:bCs w:val="false"/>
      <w:i w:val="false"/>
      <w:iCs w:val="false"/>
      <w:caps w:val="false"/>
      <w:smallCaps w:val="false"/>
      <w:strike w:val="false"/>
      <w:dstrike w:val="false"/>
      <w:color w:val="000000"/>
      <w:spacing w:val="0"/>
      <w:w w:val="100"/>
      <w:sz w:val="23"/>
      <w:szCs w:val="23"/>
      <w:u w:val="none"/>
    </w:rPr>
  </w:style>
  <w:style w:type="character" w:styleId="ListLabel49">
    <w:name w:val="ListLabel 49"/>
    <w:qFormat/>
    <w:rPr>
      <w:b w:val="false"/>
      <w:bCs w:val="false"/>
      <w:i w:val="false"/>
      <w:iCs w:val="false"/>
      <w:caps w:val="false"/>
      <w:smallCaps w:val="false"/>
      <w:strike w:val="false"/>
      <w:dstrike w:val="false"/>
      <w:color w:val="000000"/>
      <w:spacing w:val="0"/>
      <w:w w:val="100"/>
      <w:sz w:val="23"/>
      <w:szCs w:val="23"/>
      <w:u w:val="none"/>
    </w:rPr>
  </w:style>
  <w:style w:type="character" w:styleId="ListLabel50">
    <w:name w:val="ListLabel 50"/>
    <w:qFormat/>
    <w:rPr>
      <w:b w:val="false"/>
      <w:bCs w:val="false"/>
      <w:i w:val="false"/>
      <w:iCs w:val="false"/>
      <w:caps w:val="false"/>
      <w:smallCaps w:val="false"/>
      <w:strike w:val="false"/>
      <w:dstrike w:val="false"/>
      <w:color w:val="000000"/>
      <w:spacing w:val="0"/>
      <w:w w:val="100"/>
      <w:sz w:val="23"/>
      <w:szCs w:val="23"/>
      <w:u w:val="none"/>
    </w:rPr>
  </w:style>
  <w:style w:type="character" w:styleId="ListLabel51">
    <w:name w:val="ListLabel 51"/>
    <w:qFormat/>
    <w:rPr>
      <w:b w:val="false"/>
      <w:bCs w:val="false"/>
      <w:i w:val="false"/>
      <w:iCs w:val="false"/>
      <w:caps w:val="false"/>
      <w:smallCaps w:val="false"/>
      <w:strike w:val="false"/>
      <w:dstrike w:val="false"/>
      <w:color w:val="000000"/>
      <w:spacing w:val="0"/>
      <w:w w:val="100"/>
      <w:sz w:val="23"/>
      <w:szCs w:val="23"/>
      <w:u w:val="none"/>
    </w:rPr>
  </w:style>
  <w:style w:type="character" w:styleId="ListLabel52">
    <w:name w:val="ListLabel 52"/>
    <w:qFormat/>
    <w:rPr>
      <w:rFonts w:eastAsia="StarSymbol" w:cs="StarSymbol"/>
      <w:sz w:val="18"/>
      <w:szCs w:val="18"/>
    </w:rPr>
  </w:style>
  <w:style w:type="character" w:styleId="ListLabel53">
    <w:name w:val="ListLabel 53"/>
    <w:qFormat/>
    <w:rPr>
      <w:rFonts w:eastAsia="StarSymbol" w:cs="StarSymbol"/>
      <w:sz w:val="18"/>
      <w:szCs w:val="18"/>
    </w:rPr>
  </w:style>
  <w:style w:type="character" w:styleId="ListLabel54">
    <w:name w:val="ListLabel 54"/>
    <w:qFormat/>
    <w:rPr>
      <w:rFonts w:eastAsia="StarSymbol" w:cs="StarSymbol"/>
      <w:sz w:val="18"/>
      <w:szCs w:val="18"/>
    </w:rPr>
  </w:style>
  <w:style w:type="character" w:styleId="ListLabel55">
    <w:name w:val="ListLabel 55"/>
    <w:qFormat/>
    <w:rPr>
      <w:rFonts w:eastAsia="StarSymbol" w:cs="StarSymbol"/>
      <w:sz w:val="18"/>
      <w:szCs w:val="18"/>
    </w:rPr>
  </w:style>
  <w:style w:type="character" w:styleId="ListLabel56">
    <w:name w:val="ListLabel 56"/>
    <w:qFormat/>
    <w:rPr>
      <w:rFonts w:eastAsia="StarSymbol" w:cs="StarSymbol"/>
      <w:sz w:val="18"/>
      <w:szCs w:val="18"/>
    </w:rPr>
  </w:style>
  <w:style w:type="character" w:styleId="ListLabel57">
    <w:name w:val="ListLabel 57"/>
    <w:qFormat/>
    <w:rPr>
      <w:rFonts w:eastAsia="StarSymbol" w:cs="StarSymbol"/>
      <w:sz w:val="18"/>
      <w:szCs w:val="18"/>
    </w:rPr>
  </w:style>
  <w:style w:type="character" w:styleId="ListLabel58">
    <w:name w:val="ListLabel 58"/>
    <w:qFormat/>
    <w:rPr>
      <w:rFonts w:eastAsia="StarSymbol" w:cs="StarSymbol"/>
      <w:sz w:val="18"/>
      <w:szCs w:val="18"/>
    </w:rPr>
  </w:style>
  <w:style w:type="character" w:styleId="ListLabel59">
    <w:name w:val="ListLabel 59"/>
    <w:qFormat/>
    <w:rPr>
      <w:rFonts w:eastAsia="StarSymbol" w:cs="StarSymbol"/>
      <w:sz w:val="18"/>
      <w:szCs w:val="18"/>
    </w:rPr>
  </w:style>
  <w:style w:type="character" w:styleId="ListLabel60">
    <w:name w:val="ListLabel 60"/>
    <w:qFormat/>
    <w:rPr>
      <w:rFonts w:eastAsia="StarSymbol" w:cs="StarSymbol"/>
      <w:sz w:val="18"/>
      <w:szCs w:val="18"/>
    </w:rPr>
  </w:style>
  <w:style w:type="character" w:styleId="ListLabel61">
    <w:name w:val="ListLabel 61"/>
    <w:qFormat/>
    <w:rPr>
      <w:rFonts w:eastAsia="StarSymbol" w:cs="StarSymbol"/>
      <w:sz w:val="18"/>
      <w:szCs w:val="18"/>
    </w:rPr>
  </w:style>
  <w:style w:type="character" w:styleId="ListLabel62">
    <w:name w:val="ListLabel 62"/>
    <w:qFormat/>
    <w:rPr>
      <w:rFonts w:eastAsia="StarSymbol" w:cs="StarSymbol"/>
      <w:sz w:val="18"/>
      <w:szCs w:val="18"/>
    </w:rPr>
  </w:style>
  <w:style w:type="character" w:styleId="ListLabel63">
    <w:name w:val="ListLabel 63"/>
    <w:qFormat/>
    <w:rPr>
      <w:rFonts w:eastAsia="StarSymbol" w:cs="StarSymbol"/>
      <w:sz w:val="18"/>
      <w:szCs w:val="18"/>
    </w:rPr>
  </w:style>
  <w:style w:type="character" w:styleId="ListLabel64">
    <w:name w:val="ListLabel 64"/>
    <w:qFormat/>
    <w:rPr>
      <w:rFonts w:eastAsia="StarSymbol" w:cs="StarSymbol"/>
      <w:sz w:val="18"/>
      <w:szCs w:val="18"/>
    </w:rPr>
  </w:style>
  <w:style w:type="character" w:styleId="ListLabel65">
    <w:name w:val="ListLabel 65"/>
    <w:qFormat/>
    <w:rPr>
      <w:rFonts w:eastAsia="StarSymbol" w:cs="StarSymbol"/>
      <w:sz w:val="18"/>
      <w:szCs w:val="18"/>
    </w:rPr>
  </w:style>
  <w:style w:type="character" w:styleId="ListLabel66">
    <w:name w:val="ListLabel 66"/>
    <w:qFormat/>
    <w:rPr>
      <w:rFonts w:eastAsia="StarSymbol" w:cs="StarSymbol"/>
      <w:sz w:val="18"/>
      <w:szCs w:val="18"/>
    </w:rPr>
  </w:style>
  <w:style w:type="character" w:styleId="ListLabel67">
    <w:name w:val="ListLabel 67"/>
    <w:qFormat/>
    <w:rPr>
      <w:rFonts w:eastAsia="StarSymbol" w:cs="StarSymbol"/>
      <w:sz w:val="18"/>
      <w:szCs w:val="18"/>
    </w:rPr>
  </w:style>
  <w:style w:type="character" w:styleId="ListLabel68">
    <w:name w:val="ListLabel 68"/>
    <w:qFormat/>
    <w:rPr>
      <w:rFonts w:eastAsia="StarSymbol" w:cs="StarSymbol"/>
      <w:sz w:val="18"/>
      <w:szCs w:val="18"/>
    </w:rPr>
  </w:style>
  <w:style w:type="character" w:styleId="ListLabel69">
    <w:name w:val="ListLabel 69"/>
    <w:qFormat/>
    <w:rPr>
      <w:rFonts w:eastAsia="StarSymbol" w:cs="StarSymbol"/>
      <w:sz w:val="18"/>
      <w:szCs w:val="18"/>
    </w:rPr>
  </w:style>
  <w:style w:type="character" w:styleId="ListLabel70">
    <w:name w:val="ListLabel 70"/>
    <w:qFormat/>
    <w:rPr>
      <w:rFonts w:eastAsia="StarSymbol" w:cs="StarSymbol"/>
      <w:sz w:val="18"/>
      <w:szCs w:val="18"/>
    </w:rPr>
  </w:style>
  <w:style w:type="character" w:styleId="ListLabel71">
    <w:name w:val="ListLabel 71"/>
    <w:qFormat/>
    <w:rPr>
      <w:rFonts w:eastAsia="StarSymbol" w:cs="StarSymbol"/>
      <w:sz w:val="18"/>
      <w:szCs w:val="18"/>
    </w:rPr>
  </w:style>
  <w:style w:type="character" w:styleId="ListLabel72">
    <w:name w:val="ListLabel 72"/>
    <w:qFormat/>
    <w:rPr>
      <w:rFonts w:eastAsia="StarSymbol" w:cs="StarSymbol"/>
      <w:sz w:val="18"/>
      <w:szCs w:val="18"/>
    </w:rPr>
  </w:style>
  <w:style w:type="character" w:styleId="ListLabel73">
    <w:name w:val="ListLabel 73"/>
    <w:qFormat/>
    <w:rPr>
      <w:rFonts w:eastAsia="StarSymbol" w:cs="StarSymbol"/>
      <w:sz w:val="18"/>
      <w:szCs w:val="18"/>
    </w:rPr>
  </w:style>
  <w:style w:type="character" w:styleId="ListLabel74">
    <w:name w:val="ListLabel 74"/>
    <w:qFormat/>
    <w:rPr>
      <w:rFonts w:eastAsia="StarSymbol" w:cs="StarSymbol"/>
      <w:sz w:val="18"/>
      <w:szCs w:val="18"/>
    </w:rPr>
  </w:style>
  <w:style w:type="character" w:styleId="ListLabel75">
    <w:name w:val="ListLabel 75"/>
    <w:qFormat/>
    <w:rPr>
      <w:rFonts w:eastAsia="StarSymbol" w:cs="StarSymbol"/>
      <w:sz w:val="18"/>
      <w:szCs w:val="18"/>
    </w:rPr>
  </w:style>
  <w:style w:type="character" w:styleId="ListLabel76">
    <w:name w:val="ListLabel 76"/>
    <w:qFormat/>
    <w:rPr>
      <w:rFonts w:eastAsia="StarSymbol" w:cs="StarSymbol"/>
      <w:sz w:val="18"/>
      <w:szCs w:val="18"/>
    </w:rPr>
  </w:style>
  <w:style w:type="character" w:styleId="ListLabel77">
    <w:name w:val="ListLabel 77"/>
    <w:qFormat/>
    <w:rPr>
      <w:rFonts w:eastAsia="StarSymbol" w:cs="StarSymbol"/>
      <w:sz w:val="18"/>
      <w:szCs w:val="18"/>
    </w:rPr>
  </w:style>
  <w:style w:type="character" w:styleId="ListLabel78">
    <w:name w:val="ListLabel 78"/>
    <w:qFormat/>
    <w:rPr>
      <w:rFonts w:eastAsia="StarSymbol" w:cs="StarSymbol"/>
      <w:sz w:val="18"/>
      <w:szCs w:val="18"/>
    </w:rPr>
  </w:style>
  <w:style w:type="character" w:styleId="ListLabel79">
    <w:name w:val="ListLabel 79"/>
    <w:qFormat/>
    <w:rPr>
      <w:rFonts w:eastAsia="StarSymbol" w:cs="StarSymbol"/>
      <w:sz w:val="18"/>
      <w:szCs w:val="18"/>
    </w:rPr>
  </w:style>
  <w:style w:type="character" w:styleId="ListLabel80">
    <w:name w:val="ListLabel 80"/>
    <w:qFormat/>
    <w:rPr>
      <w:rFonts w:eastAsia="StarSymbol" w:cs="StarSymbol"/>
      <w:sz w:val="18"/>
      <w:szCs w:val="18"/>
    </w:rPr>
  </w:style>
  <w:style w:type="character" w:styleId="ListLabel81">
    <w:name w:val="ListLabel 81"/>
    <w:qFormat/>
    <w:rPr>
      <w:rFonts w:eastAsia="StarSymbol" w:cs="StarSymbol"/>
      <w:sz w:val="18"/>
      <w:szCs w:val="18"/>
    </w:rPr>
  </w:style>
  <w:style w:type="character" w:styleId="ListLabel82">
    <w:name w:val="ListLabel 82"/>
    <w:qFormat/>
    <w:rPr>
      <w:rFonts w:eastAsia="StarSymbol" w:cs="StarSymbol"/>
      <w:sz w:val="18"/>
      <w:szCs w:val="18"/>
    </w:rPr>
  </w:style>
  <w:style w:type="character" w:styleId="ListLabel83">
    <w:name w:val="ListLabel 83"/>
    <w:qFormat/>
    <w:rPr>
      <w:rFonts w:eastAsia="StarSymbol" w:cs="StarSymbol"/>
      <w:sz w:val="18"/>
      <w:szCs w:val="18"/>
    </w:rPr>
  </w:style>
  <w:style w:type="character" w:styleId="ListLabel84">
    <w:name w:val="ListLabel 84"/>
    <w:qFormat/>
    <w:rPr>
      <w:rFonts w:eastAsia="StarSymbol" w:cs="StarSymbol"/>
      <w:sz w:val="18"/>
      <w:szCs w:val="18"/>
    </w:rPr>
  </w:style>
  <w:style w:type="character" w:styleId="ListLabel85">
    <w:name w:val="ListLabel 85"/>
    <w:qFormat/>
    <w:rPr>
      <w:rFonts w:eastAsia="StarSymbol" w:cs="StarSymbol"/>
      <w:sz w:val="18"/>
      <w:szCs w:val="18"/>
    </w:rPr>
  </w:style>
  <w:style w:type="character" w:styleId="ListLabel86">
    <w:name w:val="ListLabel 86"/>
    <w:qFormat/>
    <w:rPr>
      <w:rFonts w:eastAsia="StarSymbol" w:cs="StarSymbol"/>
      <w:sz w:val="18"/>
      <w:szCs w:val="18"/>
    </w:rPr>
  </w:style>
  <w:style w:type="character" w:styleId="ListLabel87">
    <w:name w:val="ListLabel 87"/>
    <w:qFormat/>
    <w:rPr>
      <w:rFonts w:eastAsia="StarSymbol" w:cs="StarSymbol"/>
      <w:sz w:val="18"/>
      <w:szCs w:val="18"/>
    </w:rPr>
  </w:style>
  <w:style w:type="character" w:styleId="ListLabel88">
    <w:name w:val="ListLabel 88"/>
    <w:qFormat/>
    <w:rPr>
      <w:rFonts w:eastAsia="StarSymbol" w:cs="StarSymbol"/>
      <w:sz w:val="18"/>
      <w:szCs w:val="18"/>
    </w:rPr>
  </w:style>
  <w:style w:type="character" w:styleId="ListLabel89">
    <w:name w:val="ListLabel 89"/>
    <w:qFormat/>
    <w:rPr>
      <w:rFonts w:eastAsia="StarSymbol" w:cs="StarSymbol"/>
      <w:sz w:val="18"/>
      <w:szCs w:val="18"/>
    </w:rPr>
  </w:style>
  <w:style w:type="character" w:styleId="ListLabel90">
    <w:name w:val="ListLabel 90"/>
    <w:qFormat/>
    <w:rPr>
      <w:rFonts w:eastAsia="StarSymbol" w:cs="StarSymbol"/>
      <w:sz w:val="18"/>
      <w:szCs w:val="18"/>
    </w:rPr>
  </w:style>
  <w:style w:type="character" w:styleId="ListLabel91">
    <w:name w:val="ListLabel 91"/>
    <w:qFormat/>
    <w:rPr>
      <w:rFonts w:eastAsia="StarSymbol" w:cs="StarSymbol"/>
      <w:sz w:val="18"/>
      <w:szCs w:val="18"/>
    </w:rPr>
  </w:style>
  <w:style w:type="character" w:styleId="ListLabel92">
    <w:name w:val="ListLabel 92"/>
    <w:qFormat/>
    <w:rPr>
      <w:rFonts w:eastAsia="StarSymbol" w:cs="StarSymbol"/>
      <w:sz w:val="18"/>
      <w:szCs w:val="18"/>
    </w:rPr>
  </w:style>
  <w:style w:type="character" w:styleId="ListLabel93">
    <w:name w:val="ListLabel 93"/>
    <w:qFormat/>
    <w:rPr>
      <w:rFonts w:eastAsia="StarSymbol" w:cs="StarSymbol"/>
      <w:sz w:val="18"/>
      <w:szCs w:val="18"/>
    </w:rPr>
  </w:style>
  <w:style w:type="character" w:styleId="ListLabel94">
    <w:name w:val="ListLabel 94"/>
    <w:qFormat/>
    <w:rPr>
      <w:rFonts w:eastAsia="StarSymbol" w:cs="StarSymbol"/>
      <w:sz w:val="18"/>
      <w:szCs w:val="18"/>
    </w:rPr>
  </w:style>
  <w:style w:type="character" w:styleId="ListLabel95">
    <w:name w:val="ListLabel 95"/>
    <w:qFormat/>
    <w:rPr>
      <w:rFonts w:eastAsia="StarSymbol" w:cs="StarSymbol"/>
      <w:sz w:val="18"/>
      <w:szCs w:val="18"/>
    </w:rPr>
  </w:style>
  <w:style w:type="character" w:styleId="ListLabel96">
    <w:name w:val="ListLabel 96"/>
    <w:qFormat/>
    <w:rPr>
      <w:rFonts w:eastAsia="StarSymbol" w:cs="StarSymbol"/>
      <w:sz w:val="18"/>
      <w:szCs w:val="18"/>
    </w:rPr>
  </w:style>
  <w:style w:type="character" w:styleId="ListLabel97">
    <w:name w:val="ListLabel 97"/>
    <w:qFormat/>
    <w:rPr>
      <w:rFonts w:eastAsia="StarSymbol" w:cs="StarSymbol"/>
      <w:sz w:val="18"/>
      <w:szCs w:val="18"/>
    </w:rPr>
  </w:style>
  <w:style w:type="character" w:styleId="ListLabel98">
    <w:name w:val="ListLabel 98"/>
    <w:qFormat/>
    <w:rPr>
      <w:rFonts w:eastAsia="StarSymbol" w:cs="StarSymbol"/>
      <w:sz w:val="18"/>
      <w:szCs w:val="18"/>
    </w:rPr>
  </w:style>
  <w:style w:type="character" w:styleId="ListLabel99">
    <w:name w:val="ListLabel 99"/>
    <w:qFormat/>
    <w:rPr>
      <w:rFonts w:eastAsia="StarSymbol" w:cs="StarSymbol"/>
      <w:sz w:val="18"/>
      <w:szCs w:val="18"/>
    </w:rPr>
  </w:style>
  <w:style w:type="character" w:styleId="ListLabel100">
    <w:name w:val="ListLabel 100"/>
    <w:qFormat/>
    <w:rPr>
      <w:rFonts w:eastAsia="StarSymbol" w:cs="StarSymbol"/>
      <w:sz w:val="18"/>
      <w:szCs w:val="18"/>
    </w:rPr>
  </w:style>
  <w:style w:type="character" w:styleId="ListLabel101">
    <w:name w:val="ListLabel 101"/>
    <w:qFormat/>
    <w:rPr>
      <w:rFonts w:eastAsia="StarSymbol" w:cs="StarSymbol"/>
      <w:sz w:val="18"/>
      <w:szCs w:val="18"/>
    </w:rPr>
  </w:style>
  <w:style w:type="character" w:styleId="ListLabel102">
    <w:name w:val="ListLabel 102"/>
    <w:qFormat/>
    <w:rPr>
      <w:rFonts w:eastAsia="StarSymbol" w:cs="StarSymbol"/>
      <w:sz w:val="18"/>
      <w:szCs w:val="18"/>
    </w:rPr>
  </w:style>
  <w:style w:type="character" w:styleId="ListLabel103">
    <w:name w:val="ListLabel 103"/>
    <w:qFormat/>
    <w:rPr>
      <w:rFonts w:eastAsia="StarSymbol" w:cs="StarSymbol"/>
      <w:sz w:val="18"/>
      <w:szCs w:val="18"/>
    </w:rPr>
  </w:style>
  <w:style w:type="character" w:styleId="ListLabel104">
    <w:name w:val="ListLabel 104"/>
    <w:qFormat/>
    <w:rPr>
      <w:rFonts w:eastAsia="StarSymbol" w:cs="StarSymbol"/>
      <w:sz w:val="18"/>
      <w:szCs w:val="18"/>
    </w:rPr>
  </w:style>
  <w:style w:type="character" w:styleId="ListLabel105">
    <w:name w:val="ListLabel 105"/>
    <w:qFormat/>
    <w:rPr>
      <w:rFonts w:eastAsia="StarSymbol" w:cs="StarSymbol"/>
      <w:sz w:val="18"/>
      <w:szCs w:val="18"/>
    </w:rPr>
  </w:style>
  <w:style w:type="character" w:styleId="ListLabel106">
    <w:name w:val="ListLabel 106"/>
    <w:qFormat/>
    <w:rPr>
      <w:rFonts w:eastAsia="StarSymbol" w:cs="StarSymbol"/>
      <w:sz w:val="18"/>
      <w:szCs w:val="18"/>
    </w:rPr>
  </w:style>
  <w:style w:type="character" w:styleId="ListLabel107">
    <w:name w:val="ListLabel 107"/>
    <w:qFormat/>
    <w:rPr>
      <w:rFonts w:eastAsia="StarSymbol" w:cs="StarSymbol"/>
      <w:sz w:val="18"/>
      <w:szCs w:val="18"/>
    </w:rPr>
  </w:style>
  <w:style w:type="character" w:styleId="ListLabel108">
    <w:name w:val="ListLabel 108"/>
    <w:qFormat/>
    <w:rPr>
      <w:rFonts w:eastAsia="StarSymbol" w:cs="StarSymbol"/>
      <w:sz w:val="18"/>
      <w:szCs w:val="18"/>
    </w:rPr>
  </w:style>
  <w:style w:type="character" w:styleId="ListLabel109">
    <w:name w:val="ListLabel 109"/>
    <w:qFormat/>
    <w:rPr>
      <w:rFonts w:eastAsia="StarSymbol" w:cs="StarSymbol"/>
      <w:sz w:val="18"/>
      <w:szCs w:val="18"/>
    </w:rPr>
  </w:style>
  <w:style w:type="character" w:styleId="ListLabel110">
    <w:name w:val="ListLabel 110"/>
    <w:qFormat/>
    <w:rPr>
      <w:rFonts w:eastAsia="StarSymbol" w:cs="StarSymbol"/>
      <w:sz w:val="18"/>
      <w:szCs w:val="18"/>
    </w:rPr>
  </w:style>
  <w:style w:type="character" w:styleId="ListLabel111">
    <w:name w:val="ListLabel 111"/>
    <w:qFormat/>
    <w:rPr>
      <w:rFonts w:eastAsia="StarSymbol" w:cs="StarSymbol"/>
      <w:sz w:val="18"/>
      <w:szCs w:val="18"/>
    </w:rPr>
  </w:style>
  <w:style w:type="character" w:styleId="ListLabel112">
    <w:name w:val="ListLabel 112"/>
    <w:qFormat/>
    <w:rPr>
      <w:rFonts w:eastAsia="StarSymbol" w:cs="StarSymbol"/>
      <w:sz w:val="18"/>
      <w:szCs w:val="18"/>
    </w:rPr>
  </w:style>
  <w:style w:type="character" w:styleId="ListLabel113">
    <w:name w:val="ListLabel 113"/>
    <w:qFormat/>
    <w:rPr>
      <w:rFonts w:eastAsia="StarSymbol" w:cs="StarSymbol"/>
      <w:sz w:val="18"/>
      <w:szCs w:val="18"/>
    </w:rPr>
  </w:style>
  <w:style w:type="character" w:styleId="ListLabel114">
    <w:name w:val="ListLabel 114"/>
    <w:qFormat/>
    <w:rPr>
      <w:rFonts w:eastAsia="StarSymbol" w:cs="StarSymbol"/>
      <w:sz w:val="18"/>
      <w:szCs w:val="18"/>
    </w:rPr>
  </w:style>
  <w:style w:type="character" w:styleId="ListLabel115">
    <w:name w:val="ListLabel 115"/>
    <w:qFormat/>
    <w:rPr>
      <w:rFonts w:eastAsia="StarSymbol" w:cs="StarSymbol"/>
      <w:sz w:val="18"/>
      <w:szCs w:val="18"/>
    </w:rPr>
  </w:style>
  <w:style w:type="character" w:styleId="ListLabel116">
    <w:name w:val="ListLabel 116"/>
    <w:qFormat/>
    <w:rPr>
      <w:rFonts w:eastAsia="StarSymbol" w:cs="StarSymbol"/>
      <w:sz w:val="18"/>
      <w:szCs w:val="18"/>
    </w:rPr>
  </w:style>
  <w:style w:type="character" w:styleId="ListLabel117">
    <w:name w:val="ListLabel 117"/>
    <w:qFormat/>
    <w:rPr>
      <w:rFonts w:eastAsia="StarSymbol" w:cs="StarSymbol"/>
      <w:sz w:val="18"/>
      <w:szCs w:val="18"/>
    </w:rPr>
  </w:style>
  <w:style w:type="character" w:styleId="ListLabel118">
    <w:name w:val="ListLabel 118"/>
    <w:qFormat/>
    <w:rPr>
      <w:rFonts w:eastAsia="StarSymbol" w:cs="StarSymbol"/>
      <w:sz w:val="18"/>
      <w:szCs w:val="18"/>
    </w:rPr>
  </w:style>
  <w:style w:type="character" w:styleId="ListLabel119">
    <w:name w:val="ListLabel 119"/>
    <w:qFormat/>
    <w:rPr>
      <w:rFonts w:eastAsia="StarSymbol" w:cs="StarSymbol"/>
      <w:sz w:val="18"/>
      <w:szCs w:val="18"/>
    </w:rPr>
  </w:style>
  <w:style w:type="character" w:styleId="ListLabel120">
    <w:name w:val="ListLabel 120"/>
    <w:qFormat/>
    <w:rPr>
      <w:rFonts w:eastAsia="StarSymbol" w:cs="StarSymbol"/>
      <w:sz w:val="18"/>
      <w:szCs w:val="18"/>
    </w:rPr>
  </w:style>
  <w:style w:type="character" w:styleId="ListLabel121">
    <w:name w:val="ListLabel 121"/>
    <w:qFormat/>
    <w:rPr>
      <w:rFonts w:eastAsia="StarSymbol" w:cs="StarSymbol"/>
      <w:sz w:val="18"/>
      <w:szCs w:val="18"/>
    </w:rPr>
  </w:style>
  <w:style w:type="character" w:styleId="ListLabel122">
    <w:name w:val="ListLabel 122"/>
    <w:qFormat/>
    <w:rPr>
      <w:rFonts w:eastAsia="StarSymbol" w:cs="StarSymbol"/>
      <w:sz w:val="18"/>
      <w:szCs w:val="18"/>
    </w:rPr>
  </w:style>
  <w:style w:type="character" w:styleId="ListLabel123">
    <w:name w:val="ListLabel 123"/>
    <w:qFormat/>
    <w:rPr>
      <w:rFonts w:eastAsia="StarSymbol" w:cs="StarSymbol"/>
      <w:sz w:val="18"/>
      <w:szCs w:val="18"/>
    </w:rPr>
  </w:style>
  <w:style w:type="character" w:styleId="ListLabel124">
    <w:name w:val="ListLabel 124"/>
    <w:qFormat/>
    <w:rPr>
      <w:rFonts w:eastAsia="StarSymbol" w:cs="StarSymbol"/>
      <w:sz w:val="18"/>
      <w:szCs w:val="18"/>
    </w:rPr>
  </w:style>
  <w:style w:type="character" w:styleId="ListLabel125">
    <w:name w:val="ListLabel 125"/>
    <w:qFormat/>
    <w:rPr>
      <w:rFonts w:eastAsia="StarSymbol" w:cs="StarSymbol"/>
      <w:sz w:val="18"/>
      <w:szCs w:val="18"/>
    </w:rPr>
  </w:style>
  <w:style w:type="character" w:styleId="ListLabel126">
    <w:name w:val="ListLabel 126"/>
    <w:qFormat/>
    <w:rPr>
      <w:rFonts w:eastAsia="StarSymbol" w:cs="StarSymbol"/>
      <w:sz w:val="18"/>
      <w:szCs w:val="18"/>
    </w:rPr>
  </w:style>
  <w:style w:type="character" w:styleId="ListLabel127">
    <w:name w:val="ListLabel 127"/>
    <w:qFormat/>
    <w:rPr>
      <w:rFonts w:eastAsia="StarSymbol" w:cs="StarSymbol"/>
      <w:sz w:val="18"/>
      <w:szCs w:val="18"/>
    </w:rPr>
  </w:style>
  <w:style w:type="character" w:styleId="ListLabel128">
    <w:name w:val="ListLabel 128"/>
    <w:qFormat/>
    <w:rPr>
      <w:rFonts w:eastAsia="StarSymbol" w:cs="StarSymbol"/>
      <w:sz w:val="18"/>
      <w:szCs w:val="18"/>
    </w:rPr>
  </w:style>
  <w:style w:type="character" w:styleId="ListLabel129">
    <w:name w:val="ListLabel 129"/>
    <w:qFormat/>
    <w:rPr>
      <w:rFonts w:eastAsia="StarSymbol" w:cs="StarSymbol"/>
      <w:sz w:val="18"/>
      <w:szCs w:val="18"/>
    </w:rPr>
  </w:style>
  <w:style w:type="character" w:styleId="ListLabel130">
    <w:name w:val="ListLabel 130"/>
    <w:qFormat/>
    <w:rPr>
      <w:rFonts w:eastAsia="StarSymbol" w:cs="StarSymbol"/>
      <w:sz w:val="18"/>
      <w:szCs w:val="18"/>
    </w:rPr>
  </w:style>
  <w:style w:type="character" w:styleId="ListLabel131">
    <w:name w:val="ListLabel 131"/>
    <w:qFormat/>
    <w:rPr>
      <w:rFonts w:eastAsia="StarSymbol" w:cs="StarSymbol"/>
      <w:sz w:val="18"/>
      <w:szCs w:val="18"/>
    </w:rPr>
  </w:style>
  <w:style w:type="character" w:styleId="ListLabel132">
    <w:name w:val="ListLabel 132"/>
    <w:qFormat/>
    <w:rPr>
      <w:rFonts w:eastAsia="StarSymbol" w:cs="StarSymbol"/>
      <w:sz w:val="18"/>
      <w:szCs w:val="18"/>
    </w:rPr>
  </w:style>
  <w:style w:type="character" w:styleId="ListLabel133">
    <w:name w:val="ListLabel 133"/>
    <w:qFormat/>
    <w:rPr>
      <w:rFonts w:eastAsia="StarSymbol" w:cs="StarSymbol"/>
      <w:sz w:val="18"/>
      <w:szCs w:val="18"/>
    </w:rPr>
  </w:style>
  <w:style w:type="character" w:styleId="ListLabel134">
    <w:name w:val="ListLabel 134"/>
    <w:qFormat/>
    <w:rPr>
      <w:rFonts w:eastAsia="StarSymbol" w:cs="StarSymbol"/>
      <w:sz w:val="18"/>
      <w:szCs w:val="18"/>
    </w:rPr>
  </w:style>
  <w:style w:type="character" w:styleId="ListLabel135">
    <w:name w:val="ListLabel 135"/>
    <w:qFormat/>
    <w:rPr>
      <w:rFonts w:eastAsia="StarSymbol" w:cs="StarSymbol"/>
      <w:sz w:val="18"/>
      <w:szCs w:val="18"/>
    </w:rPr>
  </w:style>
  <w:style w:type="character" w:styleId="ListLabel136">
    <w:name w:val="ListLabel 136"/>
    <w:qFormat/>
    <w:rPr>
      <w:rFonts w:eastAsia="StarSymbol" w:cs="StarSymbol"/>
      <w:sz w:val="18"/>
      <w:szCs w:val="18"/>
    </w:rPr>
  </w:style>
  <w:style w:type="character" w:styleId="ListLabel137">
    <w:name w:val="ListLabel 137"/>
    <w:qFormat/>
    <w:rPr>
      <w:rFonts w:eastAsia="StarSymbol" w:cs="StarSymbol"/>
      <w:sz w:val="18"/>
      <w:szCs w:val="18"/>
    </w:rPr>
  </w:style>
  <w:style w:type="character" w:styleId="ListLabel138">
    <w:name w:val="ListLabel 138"/>
    <w:qFormat/>
    <w:rPr>
      <w:rFonts w:eastAsia="StarSymbol" w:cs="StarSymbol"/>
      <w:sz w:val="18"/>
      <w:szCs w:val="18"/>
    </w:rPr>
  </w:style>
  <w:style w:type="character" w:styleId="ListLabel139">
    <w:name w:val="ListLabel 139"/>
    <w:qFormat/>
    <w:rPr>
      <w:rFonts w:eastAsia="StarSymbol" w:cs="StarSymbol"/>
      <w:sz w:val="18"/>
      <w:szCs w:val="18"/>
    </w:rPr>
  </w:style>
  <w:style w:type="character" w:styleId="ListLabel140">
    <w:name w:val="ListLabel 140"/>
    <w:qFormat/>
    <w:rPr>
      <w:rFonts w:eastAsia="StarSymbol" w:cs="StarSymbol"/>
      <w:sz w:val="18"/>
      <w:szCs w:val="18"/>
    </w:rPr>
  </w:style>
  <w:style w:type="character" w:styleId="ListLabel141">
    <w:name w:val="ListLabel 141"/>
    <w:qFormat/>
    <w:rPr>
      <w:rFonts w:eastAsia="StarSymbol" w:cs="StarSymbol"/>
      <w:sz w:val="18"/>
      <w:szCs w:val="18"/>
    </w:rPr>
  </w:style>
  <w:style w:type="character" w:styleId="ListLabel142">
    <w:name w:val="ListLabel 142"/>
    <w:qFormat/>
    <w:rPr>
      <w:rFonts w:eastAsia="StarSymbol" w:cs="StarSymbol"/>
      <w:sz w:val="18"/>
      <w:szCs w:val="18"/>
    </w:rPr>
  </w:style>
  <w:style w:type="character" w:styleId="ListLabel143">
    <w:name w:val="ListLabel 143"/>
    <w:qFormat/>
    <w:rPr>
      <w:rFonts w:eastAsia="StarSymbol" w:cs="StarSymbol"/>
      <w:sz w:val="18"/>
      <w:szCs w:val="18"/>
    </w:rPr>
  </w:style>
  <w:style w:type="character" w:styleId="ListLabel144">
    <w:name w:val="ListLabel 144"/>
    <w:qFormat/>
    <w:rPr>
      <w:rFonts w:eastAsia="StarSymbol" w:cs="StarSymbol"/>
      <w:sz w:val="18"/>
      <w:szCs w:val="18"/>
    </w:rPr>
  </w:style>
  <w:style w:type="character" w:styleId="ListLabel145">
    <w:name w:val="ListLabel 145"/>
    <w:qFormat/>
    <w:rPr>
      <w:rFonts w:eastAsia="StarSymbol" w:cs="StarSymbol"/>
      <w:sz w:val="18"/>
      <w:szCs w:val="18"/>
    </w:rPr>
  </w:style>
  <w:style w:type="character" w:styleId="ListLabel146">
    <w:name w:val="ListLabel 146"/>
    <w:qFormat/>
    <w:rPr>
      <w:rFonts w:eastAsia="StarSymbol" w:cs="StarSymbol"/>
      <w:sz w:val="18"/>
      <w:szCs w:val="18"/>
    </w:rPr>
  </w:style>
  <w:style w:type="character" w:styleId="ListLabel147">
    <w:name w:val="ListLabel 147"/>
    <w:qFormat/>
    <w:rPr>
      <w:rFonts w:eastAsia="StarSymbol" w:cs="StarSymbol"/>
      <w:sz w:val="18"/>
      <w:szCs w:val="18"/>
    </w:rPr>
  </w:style>
  <w:style w:type="character" w:styleId="ListLabel148">
    <w:name w:val="ListLabel 148"/>
    <w:qFormat/>
    <w:rPr>
      <w:rFonts w:eastAsia="StarSymbol" w:cs="StarSymbol"/>
      <w:sz w:val="18"/>
      <w:szCs w:val="18"/>
    </w:rPr>
  </w:style>
  <w:style w:type="character" w:styleId="ListLabel149">
    <w:name w:val="ListLabel 149"/>
    <w:qFormat/>
    <w:rPr>
      <w:rFonts w:eastAsia="StarSymbol" w:cs="StarSymbol"/>
      <w:sz w:val="18"/>
      <w:szCs w:val="18"/>
    </w:rPr>
  </w:style>
  <w:style w:type="character" w:styleId="ListLabel150">
    <w:name w:val="ListLabel 150"/>
    <w:qFormat/>
    <w:rPr>
      <w:rFonts w:eastAsia="StarSymbol" w:cs="StarSymbol"/>
      <w:sz w:val="18"/>
      <w:szCs w:val="18"/>
    </w:rPr>
  </w:style>
  <w:style w:type="character" w:styleId="ListLabel151">
    <w:name w:val="ListLabel 151"/>
    <w:qFormat/>
    <w:rPr>
      <w:u w:val="single"/>
    </w:rPr>
  </w:style>
  <w:style w:type="character" w:styleId="ListLabel152">
    <w:name w:val="ListLabel 152"/>
    <w:qFormat/>
    <w:rPr>
      <w:u w:val="single"/>
    </w:rPr>
  </w:style>
  <w:style w:type="character" w:styleId="ListLabel153">
    <w:name w:val="ListLabel 153"/>
    <w:qFormat/>
    <w:rPr>
      <w:rFonts w:eastAsia="StarSymbol" w:cs="StarSymbol"/>
      <w:sz w:val="18"/>
      <w:szCs w:val="18"/>
    </w:rPr>
  </w:style>
  <w:style w:type="character" w:styleId="ListLabel154">
    <w:name w:val="ListLabel 154"/>
    <w:qFormat/>
    <w:rPr>
      <w:rFonts w:eastAsia="StarSymbol" w:cs="StarSymbol"/>
      <w:sz w:val="18"/>
      <w:szCs w:val="18"/>
    </w:rPr>
  </w:style>
  <w:style w:type="character" w:styleId="ListLabel155">
    <w:name w:val="ListLabel 155"/>
    <w:qFormat/>
    <w:rPr>
      <w:rFonts w:eastAsia="StarSymbol" w:cs="StarSymbol"/>
      <w:sz w:val="18"/>
      <w:szCs w:val="18"/>
    </w:rPr>
  </w:style>
  <w:style w:type="character" w:styleId="ListLabel156">
    <w:name w:val="ListLabel 156"/>
    <w:qFormat/>
    <w:rPr>
      <w:rFonts w:eastAsia="StarSymbol" w:cs="StarSymbol"/>
      <w:sz w:val="18"/>
      <w:szCs w:val="18"/>
    </w:rPr>
  </w:style>
  <w:style w:type="character" w:styleId="ListLabel157">
    <w:name w:val="ListLabel 157"/>
    <w:qFormat/>
    <w:rPr>
      <w:rFonts w:eastAsia="StarSymbol" w:cs="StarSymbol"/>
      <w:sz w:val="18"/>
      <w:szCs w:val="18"/>
    </w:rPr>
  </w:style>
  <w:style w:type="character" w:styleId="ListLabel158">
    <w:name w:val="ListLabel 158"/>
    <w:qFormat/>
    <w:rPr>
      <w:rFonts w:eastAsia="StarSymbol" w:cs="StarSymbol"/>
      <w:sz w:val="18"/>
      <w:szCs w:val="18"/>
    </w:rPr>
  </w:style>
  <w:style w:type="character" w:styleId="ListLabel159">
    <w:name w:val="ListLabel 159"/>
    <w:qFormat/>
    <w:rPr>
      <w:rFonts w:eastAsia="StarSymbol" w:cs="StarSymbol"/>
      <w:sz w:val="18"/>
      <w:szCs w:val="18"/>
    </w:rPr>
  </w:style>
  <w:style w:type="character" w:styleId="ListLabel160">
    <w:name w:val="ListLabel 160"/>
    <w:qFormat/>
    <w:rPr>
      <w:rFonts w:eastAsia="StarSymbol" w:cs="StarSymbol"/>
      <w:sz w:val="18"/>
      <w:szCs w:val="18"/>
    </w:rPr>
  </w:style>
  <w:style w:type="character" w:styleId="ListLabel161">
    <w:name w:val="ListLabel 161"/>
    <w:qFormat/>
    <w:rPr>
      <w:rFonts w:eastAsia="StarSymbol" w:cs="StarSymbol"/>
      <w:sz w:val="18"/>
      <w:szCs w:val="18"/>
    </w:rPr>
  </w:style>
  <w:style w:type="paragraph" w:styleId="Style26" w:customStyle="1">
    <w:name w:val="Заголовок"/>
    <w:basedOn w:val="Normal"/>
    <w:next w:val="Style27"/>
    <w:qFormat/>
    <w:rsid w:val="009644a8"/>
    <w:pPr>
      <w:widowControl/>
      <w:bidi w:val="0"/>
      <w:spacing w:before="0" w:after="0"/>
      <w:contextualSpacing/>
      <w:jc w:val="left"/>
    </w:pPr>
    <w:rPr>
      <w:rFonts w:ascii="Arial" w:hAnsi="Arial" w:eastAsia="Times New Roman" w:cs="Arial"/>
      <w:b/>
      <w:bCs/>
      <w:sz w:val="22"/>
      <w:szCs w:val="22"/>
    </w:rPr>
  </w:style>
  <w:style w:type="paragraph" w:styleId="Style27">
    <w:name w:val="Body Text"/>
    <w:basedOn w:val="Normal"/>
    <w:link w:val="af9"/>
    <w:uiPriority w:val="99"/>
    <w:semiHidden/>
    <w:unhideWhenUsed/>
    <w:rsid w:val="009644a8"/>
    <w:pPr>
      <w:spacing w:before="0" w:after="120"/>
    </w:pPr>
    <w:rPr>
      <w:rFonts w:eastAsia="Times New Roman"/>
    </w:rPr>
  </w:style>
  <w:style w:type="paragraph" w:styleId="Style28">
    <w:name w:val="List"/>
    <w:basedOn w:val="Style27"/>
    <w:pPr/>
    <w:rPr>
      <w:rFonts w:cs="Arial"/>
    </w:rPr>
  </w:style>
  <w:style w:type="paragraph" w:styleId="Style29">
    <w:name w:val="Caption"/>
    <w:basedOn w:val="Normal"/>
    <w:qFormat/>
    <w:pPr>
      <w:suppressLineNumbers/>
      <w:spacing w:before="120" w:after="120"/>
    </w:pPr>
    <w:rPr>
      <w:rFonts w:cs="Arial"/>
      <w:i/>
      <w:iCs/>
      <w:sz w:val="24"/>
      <w:szCs w:val="24"/>
    </w:rPr>
  </w:style>
  <w:style w:type="paragraph" w:styleId="Style30">
    <w:name w:val="Указатель"/>
    <w:basedOn w:val="Normal"/>
    <w:qFormat/>
    <w:pPr>
      <w:suppressLineNumbers/>
    </w:pPr>
    <w:rPr>
      <w:rFonts w:cs="Arial"/>
    </w:rPr>
  </w:style>
  <w:style w:type="paragraph" w:styleId="Caption">
    <w:name w:val="caption"/>
    <w:basedOn w:val="Normal"/>
    <w:qFormat/>
    <w:rsid w:val="00e87d6a"/>
    <w:pPr>
      <w:widowControl/>
      <w:spacing w:lineRule="auto" w:line="360"/>
      <w:ind w:hanging="0"/>
      <w:jc w:val="left"/>
    </w:pPr>
    <w:rPr>
      <w:rFonts w:eastAsia="Times New Roman"/>
      <w:sz w:val="28"/>
    </w:rPr>
  </w:style>
  <w:style w:type="paragraph" w:styleId="Style31">
    <w:name w:val="Title"/>
    <w:basedOn w:val="Normal"/>
    <w:link w:val="a6"/>
    <w:qFormat/>
    <w:rsid w:val="00e87d6a"/>
    <w:pPr>
      <w:widowControl/>
      <w:ind w:hanging="0"/>
      <w:jc w:val="center"/>
    </w:pPr>
    <w:rPr>
      <w:rFonts w:eastAsia="Times New Roman"/>
      <w:b/>
      <w:bCs/>
      <w:sz w:val="28"/>
    </w:rPr>
  </w:style>
  <w:style w:type="paragraph" w:styleId="Style32">
    <w:name w:val="Subtitle"/>
    <w:basedOn w:val="Normal"/>
    <w:link w:val="a8"/>
    <w:qFormat/>
    <w:rsid w:val="00e87d6a"/>
    <w:pPr>
      <w:widowControl/>
      <w:spacing w:before="60" w:after="0"/>
      <w:ind w:hanging="0"/>
    </w:pPr>
    <w:rPr>
      <w:rFonts w:eastAsia="Times New Roman"/>
      <w:szCs w:val="20"/>
    </w:rPr>
  </w:style>
  <w:style w:type="paragraph" w:styleId="NoSpacing">
    <w:name w:val="No Spacing"/>
    <w:uiPriority w:val="1"/>
    <w:qFormat/>
    <w:rsid w:val="00e87d6a"/>
    <w:pPr>
      <w:widowControl w:val="false"/>
      <w:bidi w:val="0"/>
      <w:ind w:firstLine="720"/>
      <w:jc w:val="left"/>
    </w:pPr>
    <w:rPr>
      <w:rFonts w:ascii="Times New Roman" w:hAnsi="Times New Roman" w:eastAsia="Calibri" w:cs="Times New Roman"/>
      <w:color w:val="auto"/>
      <w:sz w:val="24"/>
      <w:szCs w:val="24"/>
      <w:lang w:val="ru-RU" w:eastAsia="ru-RU" w:bidi="ar-SA"/>
    </w:rPr>
  </w:style>
  <w:style w:type="paragraph" w:styleId="ListParagraph">
    <w:name w:val="List Paragraph"/>
    <w:basedOn w:val="Normal"/>
    <w:link w:val="ad"/>
    <w:uiPriority w:val="34"/>
    <w:qFormat/>
    <w:rsid w:val="00e87d6a"/>
    <w:pPr>
      <w:widowControl/>
      <w:spacing w:before="0" w:after="0"/>
      <w:ind w:left="720" w:hanging="0"/>
      <w:contextualSpacing/>
      <w:jc w:val="left"/>
    </w:pPr>
    <w:rPr>
      <w:rFonts w:eastAsia="Times New Roman"/>
    </w:rPr>
  </w:style>
  <w:style w:type="paragraph" w:styleId="119" w:customStyle="1">
    <w:name w:val="Стиль1"/>
    <w:basedOn w:val="Normal"/>
    <w:link w:val="12"/>
    <w:qFormat/>
    <w:rsid w:val="00e87d6a"/>
    <w:pPr/>
    <w:rPr>
      <w:rFonts w:eastAsia="Times New Roman"/>
    </w:rPr>
  </w:style>
  <w:style w:type="paragraph" w:styleId="Style33" w:customStyle="1">
    <w:name w:val="Маркированный текст документа"/>
    <w:basedOn w:val="Normal"/>
    <w:uiPriority w:val="99"/>
    <w:qFormat/>
    <w:rsid w:val="00e87d6a"/>
    <w:pPr>
      <w:widowControl/>
      <w:tabs>
        <w:tab w:val="left" w:pos="567" w:leader="none"/>
      </w:tabs>
      <w:suppressAutoHyphens w:val="true"/>
      <w:spacing w:lineRule="auto" w:line="288"/>
    </w:pPr>
    <w:rPr>
      <w:rFonts w:ascii="Arial" w:hAnsi="Arial" w:eastAsia="Times New Roman"/>
      <w:szCs w:val="20"/>
      <w:lang w:eastAsia="ar-SA"/>
    </w:rPr>
  </w:style>
  <w:style w:type="paragraph" w:styleId="AltW" w:customStyle="1">
    <w:name w:val="Alt+W"/>
    <w:basedOn w:val="Normal"/>
    <w:uiPriority w:val="99"/>
    <w:qFormat/>
    <w:rsid w:val="00e87d6a"/>
    <w:pPr>
      <w:widowControl/>
      <w:tabs>
        <w:tab w:val="left" w:pos="709" w:leader="none"/>
      </w:tabs>
      <w:spacing w:before="120" w:after="0"/>
      <w:ind w:hanging="0"/>
    </w:pPr>
    <w:rPr>
      <w:rFonts w:ascii="Calibri" w:hAnsi="Calibri" w:eastAsia="Times New Roman"/>
      <w:szCs w:val="20"/>
    </w:rPr>
  </w:style>
  <w:style w:type="paragraph" w:styleId="NormalWeb">
    <w:name w:val="Normal (Web)"/>
    <w:basedOn w:val="Normal"/>
    <w:uiPriority w:val="34"/>
    <w:unhideWhenUsed/>
    <w:qFormat/>
    <w:rsid w:val="009644a8"/>
    <w:pPr>
      <w:widowControl/>
      <w:spacing w:before="0" w:after="0"/>
      <w:ind w:left="720" w:hanging="0"/>
      <w:contextualSpacing/>
      <w:jc w:val="left"/>
    </w:pPr>
    <w:rPr>
      <w:rFonts w:eastAsia="Times New Roman"/>
    </w:rPr>
  </w:style>
  <w:style w:type="paragraph" w:styleId="Footnotetext">
    <w:name w:val="footnote text"/>
    <w:basedOn w:val="Normal"/>
    <w:link w:val="af1"/>
    <w:semiHidden/>
    <w:unhideWhenUsed/>
    <w:qFormat/>
    <w:rsid w:val="009644a8"/>
    <w:pPr/>
    <w:rPr>
      <w:rFonts w:eastAsia="Times New Roman"/>
      <w:sz w:val="20"/>
      <w:szCs w:val="20"/>
    </w:rPr>
  </w:style>
  <w:style w:type="paragraph" w:styleId="Annotationtext">
    <w:name w:val="annotation text"/>
    <w:basedOn w:val="Normal"/>
    <w:link w:val="af3"/>
    <w:semiHidden/>
    <w:unhideWhenUsed/>
    <w:qFormat/>
    <w:rsid w:val="009644a8"/>
    <w:pPr/>
    <w:rPr>
      <w:rFonts w:eastAsia="Times New Roman"/>
      <w:sz w:val="20"/>
      <w:szCs w:val="20"/>
    </w:rPr>
  </w:style>
  <w:style w:type="paragraph" w:styleId="Style34">
    <w:name w:val="Header"/>
    <w:basedOn w:val="Normal"/>
    <w:link w:val="af5"/>
    <w:uiPriority w:val="99"/>
    <w:semiHidden/>
    <w:unhideWhenUsed/>
    <w:rsid w:val="009644a8"/>
    <w:pPr>
      <w:tabs>
        <w:tab w:val="center" w:pos="4677" w:leader="none"/>
        <w:tab w:val="right" w:pos="9355" w:leader="none"/>
      </w:tabs>
    </w:pPr>
    <w:rPr/>
  </w:style>
  <w:style w:type="paragraph" w:styleId="Style35">
    <w:name w:val="Footer"/>
    <w:basedOn w:val="Normal"/>
    <w:link w:val="af7"/>
    <w:uiPriority w:val="99"/>
    <w:unhideWhenUsed/>
    <w:rsid w:val="009644a8"/>
    <w:pPr>
      <w:tabs>
        <w:tab w:val="center" w:pos="4677" w:leader="none"/>
        <w:tab w:val="right" w:pos="9355" w:leader="none"/>
      </w:tabs>
    </w:pPr>
    <w:rPr/>
  </w:style>
  <w:style w:type="paragraph" w:styleId="Style36">
    <w:name w:val="Body Text Indent"/>
    <w:basedOn w:val="Normal"/>
    <w:link w:val="afb"/>
    <w:uiPriority w:val="99"/>
    <w:semiHidden/>
    <w:unhideWhenUsed/>
    <w:rsid w:val="009644a8"/>
    <w:pPr>
      <w:spacing w:before="0" w:after="120"/>
      <w:ind w:left="283" w:firstLine="720"/>
    </w:pPr>
    <w:rPr/>
  </w:style>
  <w:style w:type="paragraph" w:styleId="BodyText2">
    <w:name w:val="Body Text 2"/>
    <w:basedOn w:val="Normal"/>
    <w:link w:val="22"/>
    <w:uiPriority w:val="99"/>
    <w:unhideWhenUsed/>
    <w:qFormat/>
    <w:rsid w:val="009644a8"/>
    <w:pPr>
      <w:spacing w:lineRule="auto" w:line="480" w:before="0" w:after="120"/>
    </w:pPr>
    <w:rPr>
      <w:rFonts w:eastAsia="Times New Roman"/>
    </w:rPr>
  </w:style>
  <w:style w:type="paragraph" w:styleId="BodyText3">
    <w:name w:val="Body Text 3"/>
    <w:basedOn w:val="Normal"/>
    <w:link w:val="31"/>
    <w:uiPriority w:val="99"/>
    <w:unhideWhenUsed/>
    <w:qFormat/>
    <w:rsid w:val="009644a8"/>
    <w:pPr>
      <w:spacing w:before="0" w:after="120"/>
    </w:pPr>
    <w:rPr>
      <w:rFonts w:eastAsia="Times New Roman"/>
    </w:rPr>
  </w:style>
  <w:style w:type="paragraph" w:styleId="BodyTextIndent2">
    <w:name w:val="Body Text Indent 2"/>
    <w:basedOn w:val="Normal"/>
    <w:link w:val="24"/>
    <w:uiPriority w:val="99"/>
    <w:semiHidden/>
    <w:unhideWhenUsed/>
    <w:qFormat/>
    <w:rsid w:val="009644a8"/>
    <w:pPr>
      <w:spacing w:lineRule="auto" w:line="480" w:before="0" w:after="120"/>
      <w:ind w:left="283" w:firstLine="720"/>
    </w:pPr>
    <w:rPr>
      <w:rFonts w:eastAsia="Times New Roman"/>
    </w:rPr>
  </w:style>
  <w:style w:type="paragraph" w:styleId="BodyTextIndent3">
    <w:name w:val="Body Text Indent 3"/>
    <w:basedOn w:val="Normal"/>
    <w:link w:val="33"/>
    <w:uiPriority w:val="99"/>
    <w:semiHidden/>
    <w:unhideWhenUsed/>
    <w:qFormat/>
    <w:rsid w:val="009644a8"/>
    <w:pPr>
      <w:spacing w:before="0" w:after="120"/>
      <w:ind w:left="283" w:firstLine="720"/>
    </w:pPr>
    <w:rPr>
      <w:rFonts w:eastAsia="Times New Roman"/>
    </w:rPr>
  </w:style>
  <w:style w:type="paragraph" w:styleId="DocumentMap">
    <w:name w:val="Document Map"/>
    <w:basedOn w:val="Normal"/>
    <w:link w:val="afd"/>
    <w:semiHidden/>
    <w:unhideWhenUsed/>
    <w:qFormat/>
    <w:rsid w:val="009644a8"/>
    <w:pPr/>
    <w:rPr>
      <w:rFonts w:ascii="Tahoma" w:hAnsi="Tahoma" w:eastAsia="Times New Roman" w:cs="Tahoma"/>
      <w:sz w:val="20"/>
      <w:szCs w:val="20"/>
    </w:rPr>
  </w:style>
  <w:style w:type="paragraph" w:styleId="PlainText">
    <w:name w:val="Plain Text"/>
    <w:basedOn w:val="Normal"/>
    <w:link w:val="aff"/>
    <w:semiHidden/>
    <w:unhideWhenUsed/>
    <w:qFormat/>
    <w:rsid w:val="009644a8"/>
    <w:pPr>
      <w:widowControl/>
      <w:spacing w:before="0" w:after="0"/>
      <w:ind w:hanging="0"/>
      <w:contextualSpacing/>
      <w:jc w:val="left"/>
    </w:pPr>
    <w:rPr>
      <w:rFonts w:ascii="Courier New" w:hAnsi="Courier New" w:eastAsia="Times New Roman" w:cs="Courier New"/>
      <w:sz w:val="20"/>
      <w:szCs w:val="20"/>
    </w:rPr>
  </w:style>
  <w:style w:type="paragraph" w:styleId="Annotationsubject">
    <w:name w:val="annotation subject"/>
    <w:basedOn w:val="Annotationtext"/>
    <w:link w:val="aff1"/>
    <w:semiHidden/>
    <w:unhideWhenUsed/>
    <w:qFormat/>
    <w:rsid w:val="009644a8"/>
    <w:pPr/>
    <w:rPr>
      <w:b/>
      <w:bCs/>
    </w:rPr>
  </w:style>
  <w:style w:type="paragraph" w:styleId="BalloonText">
    <w:name w:val="Balloon Text"/>
    <w:basedOn w:val="Normal"/>
    <w:link w:val="aff3"/>
    <w:uiPriority w:val="99"/>
    <w:semiHidden/>
    <w:unhideWhenUsed/>
    <w:qFormat/>
    <w:rsid w:val="009644a8"/>
    <w:pPr/>
    <w:rPr>
      <w:rFonts w:ascii="Tahoma" w:hAnsi="Tahoma" w:cs="Tahoma"/>
      <w:sz w:val="16"/>
      <w:szCs w:val="16"/>
    </w:rPr>
  </w:style>
  <w:style w:type="paragraph" w:styleId="120" w:customStyle="1">
    <w:name w:val="Обычный1"/>
    <w:uiPriority w:val="99"/>
    <w:qFormat/>
    <w:rsid w:val="009644a8"/>
    <w:pPr>
      <w:widowControl/>
      <w:bidi w:val="0"/>
      <w:spacing w:before="0" w:after="0"/>
      <w:contextualSpacing/>
      <w:jc w:val="left"/>
    </w:pPr>
    <w:rPr>
      <w:rFonts w:ascii="Times New Roman" w:hAnsi="Times New Roman" w:eastAsia="Times New Roman" w:cs="Times New Roman"/>
      <w:color w:val="auto"/>
      <w:sz w:val="24"/>
      <w:szCs w:val="20"/>
      <w:lang w:val="ru-RU" w:eastAsia="ru-RU" w:bidi="ar-SA"/>
    </w:rPr>
  </w:style>
  <w:style w:type="paragraph" w:styleId="Style210" w:customStyle="1">
    <w:name w:val="Style2"/>
    <w:basedOn w:val="Normal"/>
    <w:uiPriority w:val="99"/>
    <w:qFormat/>
    <w:rsid w:val="009644a8"/>
    <w:pPr>
      <w:spacing w:lineRule="exact" w:line="221" w:before="0" w:after="0"/>
      <w:ind w:firstLine="494"/>
      <w:contextualSpacing/>
      <w:jc w:val="left"/>
    </w:pPr>
    <w:rPr>
      <w:rFonts w:ascii="Arial Narrow" w:hAnsi="Arial Narrow" w:eastAsia="Times New Roman"/>
    </w:rPr>
  </w:style>
  <w:style w:type="paragraph" w:styleId="Style37" w:customStyle="1">
    <w:name w:val="Style3"/>
    <w:basedOn w:val="Normal"/>
    <w:uiPriority w:val="99"/>
    <w:qFormat/>
    <w:rsid w:val="009644a8"/>
    <w:pPr>
      <w:spacing w:lineRule="exact" w:line="216" w:before="0" w:after="0"/>
      <w:ind w:hanging="72"/>
      <w:contextualSpacing/>
      <w:jc w:val="left"/>
    </w:pPr>
    <w:rPr>
      <w:rFonts w:ascii="Arial Narrow" w:hAnsi="Arial Narrow" w:eastAsia="Times New Roman"/>
    </w:rPr>
  </w:style>
  <w:style w:type="paragraph" w:styleId="Style41" w:customStyle="1">
    <w:name w:val="Style4"/>
    <w:basedOn w:val="Normal"/>
    <w:uiPriority w:val="99"/>
    <w:qFormat/>
    <w:rsid w:val="009644a8"/>
    <w:pPr>
      <w:spacing w:lineRule="exact" w:line="178" w:before="0" w:after="0"/>
      <w:ind w:hanging="0"/>
      <w:contextualSpacing/>
    </w:pPr>
    <w:rPr>
      <w:rFonts w:ascii="Arial Narrow" w:hAnsi="Arial Narrow" w:eastAsia="Times New Roman"/>
    </w:rPr>
  </w:style>
  <w:style w:type="paragraph" w:styleId="121" w:customStyle="1">
    <w:name w:val="Абзац списка1"/>
    <w:basedOn w:val="Normal"/>
    <w:uiPriority w:val="99"/>
    <w:qFormat/>
    <w:rsid w:val="009644a8"/>
    <w:pPr>
      <w:widowControl/>
      <w:spacing w:before="0" w:after="0"/>
      <w:ind w:left="720" w:hanging="0"/>
      <w:contextualSpacing/>
      <w:jc w:val="left"/>
    </w:pPr>
    <w:rPr>
      <w:sz w:val="28"/>
    </w:rPr>
  </w:style>
  <w:style w:type="paragraph" w:styleId="213" w:customStyle="1">
    <w:name w:val="Основной текст 21"/>
    <w:basedOn w:val="Normal"/>
    <w:qFormat/>
    <w:rsid w:val="009644a8"/>
    <w:pPr>
      <w:widowControl/>
      <w:suppressAutoHyphens w:val="true"/>
      <w:spacing w:before="280" w:after="280"/>
      <w:ind w:hanging="0"/>
      <w:contextualSpacing/>
      <w:jc w:val="left"/>
    </w:pPr>
    <w:rPr>
      <w:rFonts w:eastAsia="Times New Roman"/>
      <w:lang w:eastAsia="ar-SA"/>
    </w:rPr>
  </w:style>
  <w:style w:type="paragraph" w:styleId="FORMATTEXT" w:customStyle="1">
    <w:name w:val=".FORMATTEXT"/>
    <w:uiPriority w:val="99"/>
    <w:qFormat/>
    <w:rsid w:val="009644a8"/>
    <w:pPr>
      <w:widowControl w:val="false"/>
      <w:bidi w:val="0"/>
      <w:spacing w:before="0" w:after="0"/>
      <w:contextualSpacing/>
      <w:jc w:val="left"/>
    </w:pPr>
    <w:rPr>
      <w:rFonts w:ascii="Times New Roman" w:hAnsi="Times New Roman" w:eastAsia="Times New Roman" w:cs="Times New Roman"/>
      <w:color w:val="auto"/>
      <w:sz w:val="24"/>
      <w:szCs w:val="24"/>
      <w:lang w:val="ru-RU" w:eastAsia="ru-RU" w:bidi="ar-SA"/>
    </w:rPr>
  </w:style>
  <w:style w:type="paragraph" w:styleId="Formattext1" w:customStyle="1">
    <w:name w:val="formattext"/>
    <w:basedOn w:val="Normal"/>
    <w:uiPriority w:val="99"/>
    <w:qFormat/>
    <w:rsid w:val="009644a8"/>
    <w:pPr>
      <w:widowControl/>
      <w:spacing w:beforeAutospacing="1" w:afterAutospacing="1"/>
      <w:ind w:hanging="0"/>
      <w:contextualSpacing/>
      <w:jc w:val="left"/>
    </w:pPr>
    <w:rPr>
      <w:rFonts w:eastAsia="Times New Roman"/>
    </w:rPr>
  </w:style>
  <w:style w:type="paragraph" w:styleId="ConsPlusNonformat" w:customStyle="1">
    <w:name w:val="ConsPlusNonformat"/>
    <w:uiPriority w:val="99"/>
    <w:qFormat/>
    <w:rsid w:val="009644a8"/>
    <w:pPr>
      <w:widowControl/>
      <w:bidi w:val="0"/>
      <w:spacing w:before="0" w:after="0"/>
      <w:contextualSpacing/>
      <w:jc w:val="left"/>
    </w:pPr>
    <w:rPr>
      <w:rFonts w:ascii="Courier New" w:hAnsi="Courier New" w:eastAsia="Times New Roman" w:cs="Courier New"/>
      <w:color w:val="auto"/>
      <w:sz w:val="24"/>
      <w:szCs w:val="20"/>
      <w:lang w:val="ru-RU" w:eastAsia="ru-RU" w:bidi="ar-SA"/>
    </w:rPr>
  </w:style>
  <w:style w:type="paragraph" w:styleId="26" w:customStyle="1">
    <w:name w:val="Цитата2"/>
    <w:basedOn w:val="Normal"/>
    <w:uiPriority w:val="99"/>
    <w:qFormat/>
    <w:rsid w:val="009644a8"/>
    <w:pPr>
      <w:spacing w:lineRule="exact" w:line="960" w:before="0" w:after="0"/>
      <w:ind w:left="720" w:right="39" w:hanging="0"/>
      <w:contextualSpacing/>
      <w:jc w:val="left"/>
    </w:pPr>
    <w:rPr>
      <w:lang w:eastAsia="ar-SA"/>
    </w:rPr>
  </w:style>
  <w:style w:type="paragraph" w:styleId="MIDDLEPICT" w:customStyle="1">
    <w:name w:val=".MIDDLEPICT"/>
    <w:uiPriority w:val="99"/>
    <w:qFormat/>
    <w:rsid w:val="009644a8"/>
    <w:pPr>
      <w:widowControl w:val="false"/>
      <w:bidi w:val="0"/>
      <w:spacing w:before="0" w:after="0"/>
      <w:contextualSpacing/>
      <w:jc w:val="left"/>
    </w:pPr>
    <w:rPr>
      <w:rFonts w:ascii="Times New Roman" w:hAnsi="Times New Roman" w:eastAsia="Calibri" w:cs="Times New Roman"/>
      <w:color w:val="auto"/>
      <w:sz w:val="24"/>
      <w:szCs w:val="24"/>
      <w:lang w:val="ru-RU" w:eastAsia="ru-RU" w:bidi="ar-SA"/>
    </w:rPr>
  </w:style>
  <w:style w:type="paragraph" w:styleId="Style38" w:customStyle="1">
    <w:name w:val="Абзац"/>
    <w:basedOn w:val="Normal"/>
    <w:uiPriority w:val="99"/>
    <w:qFormat/>
    <w:rsid w:val="009644a8"/>
    <w:pPr>
      <w:widowControl/>
      <w:tabs>
        <w:tab w:val="left" w:pos="567" w:leader="none"/>
        <w:tab w:val="left" w:pos="1134" w:leader="none"/>
        <w:tab w:val="left" w:pos="1701" w:leader="none"/>
        <w:tab w:val="left" w:pos="2268" w:leader="none"/>
        <w:tab w:val="left" w:pos="2835" w:leader="none"/>
        <w:tab w:val="left" w:pos="3402" w:leader="none"/>
        <w:tab w:val="left" w:pos="3969" w:leader="none"/>
        <w:tab w:val="left" w:pos="4536" w:leader="none"/>
        <w:tab w:val="left" w:pos="5103" w:leader="none"/>
        <w:tab w:val="left" w:pos="5670" w:leader="none"/>
        <w:tab w:val="left" w:pos="6237" w:leader="none"/>
        <w:tab w:val="left" w:pos="6804" w:leader="none"/>
        <w:tab w:val="left" w:pos="7371" w:leader="none"/>
        <w:tab w:val="left" w:pos="7938" w:leader="none"/>
        <w:tab w:val="left" w:pos="8505" w:leader="none"/>
        <w:tab w:val="left" w:pos="9072" w:leader="none"/>
        <w:tab w:val="left" w:pos="9639" w:leader="none"/>
        <w:tab w:val="left" w:pos="10206" w:leader="none"/>
        <w:tab w:val="left" w:pos="10773" w:leader="none"/>
        <w:tab w:val="left" w:pos="11340" w:leader="none"/>
      </w:tabs>
      <w:spacing w:before="120" w:after="120"/>
      <w:ind w:firstLine="567"/>
      <w:contextualSpacing/>
    </w:pPr>
    <w:rPr>
      <w:rFonts w:ascii="GOST type A" w:hAnsi="GOST type A" w:eastAsia="Times New Roman"/>
      <w:i/>
      <w:sz w:val="28"/>
    </w:rPr>
  </w:style>
  <w:style w:type="paragraph" w:styleId="Style39" w:customStyle="1">
    <w:name w:val="Знак Знак Знак Знак Знак Знак Знак Знак Знак Знак Знак Знак Знак Знак Знак Знак"/>
    <w:basedOn w:val="Normal"/>
    <w:uiPriority w:val="99"/>
    <w:qFormat/>
    <w:rsid w:val="009644a8"/>
    <w:pPr>
      <w:spacing w:lineRule="exact" w:line="240" w:before="0" w:after="160"/>
      <w:ind w:hanging="0"/>
      <w:contextualSpacing/>
      <w:jc w:val="right"/>
    </w:pPr>
    <w:rPr>
      <w:rFonts w:eastAsia="Times New Roman"/>
      <w:sz w:val="20"/>
      <w:szCs w:val="20"/>
      <w:lang w:val="en-GB" w:eastAsia="en-US"/>
    </w:rPr>
  </w:style>
  <w:style w:type="paragraph" w:styleId="27" w:customStyle="1">
    <w:name w:val="Обычный2"/>
    <w:uiPriority w:val="99"/>
    <w:qFormat/>
    <w:rsid w:val="009644a8"/>
    <w:pPr>
      <w:widowControl/>
      <w:bidi w:val="0"/>
      <w:spacing w:before="0" w:after="0"/>
      <w:contextualSpacing/>
      <w:jc w:val="left"/>
    </w:pPr>
    <w:rPr>
      <w:rFonts w:ascii="Times New Roman" w:hAnsi="Times New Roman" w:eastAsia="Times New Roman" w:cs="Times New Roman"/>
      <w:color w:val="auto"/>
      <w:sz w:val="24"/>
      <w:szCs w:val="20"/>
      <w:lang w:val="ru-RU" w:eastAsia="ru-RU" w:bidi="ar-SA"/>
    </w:rPr>
  </w:style>
  <w:style w:type="paragraph" w:styleId="53" w:customStyle="1">
    <w:name w:val="Основной текст5"/>
    <w:basedOn w:val="Normal"/>
    <w:uiPriority w:val="99"/>
    <w:qFormat/>
    <w:rsid w:val="009644a8"/>
    <w:pPr>
      <w:shd w:val="clear" w:color="auto" w:fill="FFFFFF"/>
      <w:spacing w:lineRule="auto" w:before="0" w:after="360"/>
      <w:ind w:hanging="580"/>
      <w:contextualSpacing/>
    </w:pPr>
    <w:rPr>
      <w:rFonts w:ascii="Arial" w:hAnsi="Arial" w:eastAsia="Arial" w:cs="Arial"/>
      <w:i/>
      <w:iCs/>
      <w:color w:val="000000"/>
      <w:sz w:val="25"/>
      <w:szCs w:val="25"/>
    </w:rPr>
  </w:style>
  <w:style w:type="paragraph" w:styleId="74" w:customStyle="1">
    <w:name w:val="Основной текст7"/>
    <w:basedOn w:val="Normal"/>
    <w:uiPriority w:val="99"/>
    <w:qFormat/>
    <w:rsid w:val="009644a8"/>
    <w:pPr>
      <w:shd w:val="clear" w:color="auto" w:fill="FFFFFF"/>
      <w:spacing w:lineRule="exact" w:line="346" w:before="0" w:after="180"/>
      <w:ind w:hanging="0"/>
      <w:contextualSpacing/>
    </w:pPr>
    <w:rPr>
      <w:rFonts w:eastAsia="Times New Roman"/>
      <w:color w:val="000000"/>
      <w:spacing w:val="10"/>
    </w:rPr>
  </w:style>
  <w:style w:type="paragraph" w:styleId="28" w:customStyle="1">
    <w:name w:val="Основной текст (2)"/>
    <w:basedOn w:val="Normal"/>
    <w:link w:val="28"/>
    <w:qFormat/>
    <w:rsid w:val="009644a8"/>
    <w:pPr>
      <w:shd w:val="clear" w:color="auto" w:fill="FFFFFF"/>
      <w:spacing w:lineRule="exact" w:line="564" w:before="2100" w:after="1020"/>
      <w:ind w:hanging="0"/>
      <w:contextualSpacing/>
      <w:jc w:val="center"/>
    </w:pPr>
    <w:rPr>
      <w:rFonts w:ascii="Tahoma" w:hAnsi="Tahoma" w:eastAsia="Tahoma" w:cs="Tahoma"/>
      <w:b/>
      <w:bCs/>
      <w:sz w:val="33"/>
      <w:szCs w:val="33"/>
    </w:rPr>
  </w:style>
  <w:style w:type="paragraph" w:styleId="221" w:customStyle="1">
    <w:name w:val="Основной текст 22"/>
    <w:basedOn w:val="Normal"/>
    <w:uiPriority w:val="99"/>
    <w:qFormat/>
    <w:rsid w:val="009644a8"/>
    <w:pPr>
      <w:widowControl/>
      <w:spacing w:before="0" w:after="0"/>
      <w:contextualSpacing/>
      <w:jc w:val="center"/>
    </w:pPr>
    <w:rPr>
      <w:rFonts w:eastAsia="Times New Roman"/>
      <w:b/>
      <w:szCs w:val="20"/>
    </w:rPr>
  </w:style>
  <w:style w:type="paragraph" w:styleId="29" w:customStyle="1">
    <w:name w:val="Основной текст2"/>
    <w:basedOn w:val="Normal"/>
    <w:link w:val="aff7"/>
    <w:qFormat/>
    <w:rsid w:val="009644a8"/>
    <w:pPr>
      <w:shd w:val="clear" w:color="auto" w:fill="FFFFFF"/>
      <w:spacing w:lineRule="exact" w:line="311" w:before="480" w:after="120"/>
      <w:ind w:hanging="400"/>
      <w:contextualSpacing/>
    </w:pPr>
    <w:rPr>
      <w:rFonts w:eastAsia="Times New Roman"/>
      <w:spacing w:val="4"/>
      <w:sz w:val="21"/>
      <w:szCs w:val="21"/>
    </w:rPr>
  </w:style>
  <w:style w:type="paragraph" w:styleId="183" w:customStyle="1">
    <w:name w:val="Основной текст (18)"/>
    <w:basedOn w:val="Normal"/>
    <w:link w:val="18Exact"/>
    <w:qFormat/>
    <w:rsid w:val="009644a8"/>
    <w:pPr>
      <w:shd w:val="clear" w:color="auto" w:fill="FFFFFF"/>
      <w:spacing w:lineRule="auto" w:before="0" w:after="0"/>
      <w:ind w:hanging="0"/>
      <w:contextualSpacing/>
      <w:jc w:val="left"/>
    </w:pPr>
    <w:rPr>
      <w:rFonts w:ascii="Batang" w:hAnsi="Batang" w:eastAsia="Batang" w:cs="Batang"/>
      <w:spacing w:val="5"/>
      <w:sz w:val="10"/>
      <w:szCs w:val="10"/>
    </w:rPr>
  </w:style>
  <w:style w:type="paragraph" w:styleId="Style40" w:customStyle="1">
    <w:name w:val="Аля-текст"/>
    <w:basedOn w:val="Normal"/>
    <w:uiPriority w:val="99"/>
    <w:qFormat/>
    <w:rsid w:val="009644a8"/>
    <w:pPr>
      <w:widowControl/>
      <w:spacing w:before="0" w:after="0"/>
      <w:ind w:hanging="0"/>
      <w:contextualSpacing/>
    </w:pPr>
    <w:rPr>
      <w:rFonts w:eastAsia="Times New Roman"/>
      <w:sz w:val="28"/>
      <w:szCs w:val="20"/>
    </w:rPr>
  </w:style>
  <w:style w:type="paragraph" w:styleId="Font" w:customStyle="1">
    <w:name w:val="font"/>
    <w:basedOn w:val="Normal"/>
    <w:uiPriority w:val="99"/>
    <w:qFormat/>
    <w:rsid w:val="009644a8"/>
    <w:pPr>
      <w:widowControl/>
      <w:spacing w:beforeAutospacing="1" w:afterAutospacing="1"/>
      <w:ind w:hanging="0"/>
      <w:contextualSpacing/>
      <w:jc w:val="left"/>
    </w:pPr>
    <w:rPr>
      <w:rFonts w:ascii="Verdana" w:hAnsi="Verdana" w:eastAsia="Times New Roman"/>
      <w:sz w:val="16"/>
      <w:szCs w:val="16"/>
    </w:rPr>
  </w:style>
  <w:style w:type="paragraph" w:styleId="313" w:customStyle="1">
    <w:name w:val="Основной текст с отступом 31"/>
    <w:basedOn w:val="Normal"/>
    <w:uiPriority w:val="99"/>
    <w:qFormat/>
    <w:rsid w:val="009644a8"/>
    <w:pPr>
      <w:widowControl/>
      <w:spacing w:before="0" w:after="0"/>
      <w:ind w:left="567" w:firstLine="284"/>
      <w:contextualSpacing/>
    </w:pPr>
    <w:rPr>
      <w:rFonts w:eastAsia="Times New Roman"/>
      <w:sz w:val="28"/>
      <w:szCs w:val="20"/>
      <w:lang w:eastAsia="ar-SA"/>
    </w:rPr>
  </w:style>
  <w:style w:type="paragraph" w:styleId="63" w:customStyle="1">
    <w:name w:val="Заголовок №6"/>
    <w:basedOn w:val="Normal"/>
    <w:link w:val="61"/>
    <w:qFormat/>
    <w:rsid w:val="009644a8"/>
    <w:pPr>
      <w:widowControl/>
      <w:shd w:val="clear" w:color="auto" w:fill="FFFFFF"/>
      <w:spacing w:lineRule="atLeast" w:line="240" w:before="0" w:after="60"/>
      <w:ind w:hanging="280"/>
      <w:contextualSpacing/>
      <w:jc w:val="left"/>
      <w:outlineLvl w:val="5"/>
    </w:pPr>
    <w:rPr>
      <w:rFonts w:ascii="Calibri" w:hAnsi="Calibri"/>
      <w:b/>
      <w:bCs/>
      <w:sz w:val="32"/>
      <w:szCs w:val="32"/>
    </w:rPr>
  </w:style>
  <w:style w:type="paragraph" w:styleId="314" w:customStyle="1">
    <w:name w:val="Основной текст 31"/>
    <w:basedOn w:val="Normal"/>
    <w:uiPriority w:val="99"/>
    <w:qFormat/>
    <w:rsid w:val="009644a8"/>
    <w:pPr>
      <w:widowControl/>
      <w:spacing w:before="0" w:after="0"/>
      <w:ind w:right="197" w:hanging="0"/>
      <w:contextualSpacing/>
    </w:pPr>
    <w:rPr>
      <w:rFonts w:eastAsia="Times New Roman"/>
      <w:bCs/>
      <w:szCs w:val="20"/>
      <w:lang w:eastAsia="ar-SA"/>
    </w:rPr>
  </w:style>
  <w:style w:type="paragraph" w:styleId="7311" w:customStyle="1">
    <w:name w:val="Заголовок №7 (3)1"/>
    <w:basedOn w:val="Normal"/>
    <w:link w:val="73"/>
    <w:qFormat/>
    <w:rsid w:val="009644a8"/>
    <w:pPr>
      <w:widowControl/>
      <w:shd w:val="clear" w:color="auto" w:fill="FFFFFF"/>
      <w:spacing w:lineRule="exact" w:line="319" w:before="300" w:after="0"/>
      <w:ind w:hanging="0"/>
      <w:contextualSpacing/>
      <w:jc w:val="left"/>
      <w:outlineLvl w:val="6"/>
    </w:pPr>
    <w:rPr>
      <w:rFonts w:ascii="Calibri" w:hAnsi="Calibri"/>
      <w:b/>
      <w:bCs/>
      <w:i/>
      <w:iCs/>
      <w:sz w:val="28"/>
      <w:szCs w:val="28"/>
    </w:rPr>
  </w:style>
  <w:style w:type="paragraph" w:styleId="BodyText21" w:customStyle="1">
    <w:name w:val="Body Text 21"/>
    <w:basedOn w:val="Normal"/>
    <w:uiPriority w:val="99"/>
    <w:qFormat/>
    <w:rsid w:val="009644a8"/>
    <w:pPr>
      <w:overflowPunct w:val="true"/>
      <w:spacing w:before="100" w:after="100"/>
      <w:ind w:hanging="0"/>
      <w:contextualSpacing/>
    </w:pPr>
    <w:rPr>
      <w:rFonts w:ascii="Arial" w:hAnsi="Arial" w:eastAsia="Times New Roman"/>
      <w:szCs w:val="20"/>
    </w:rPr>
  </w:style>
  <w:style w:type="paragraph" w:styleId="161" w:customStyle="1">
    <w:name w:val="Основной текст (16)"/>
    <w:basedOn w:val="Normal"/>
    <w:link w:val="160"/>
    <w:qFormat/>
    <w:rsid w:val="009644a8"/>
    <w:pPr>
      <w:widowControl/>
      <w:shd w:val="clear" w:color="auto" w:fill="FFFFFF"/>
      <w:spacing w:lineRule="atLeast" w:line="240" w:before="0" w:after="0"/>
      <w:ind w:hanging="0"/>
      <w:contextualSpacing/>
      <w:jc w:val="left"/>
    </w:pPr>
    <w:rPr>
      <w:rFonts w:ascii="Arial" w:hAnsi="Arial" w:cs="Arial"/>
      <w:sz w:val="16"/>
      <w:szCs w:val="16"/>
    </w:rPr>
  </w:style>
  <w:style w:type="paragraph" w:styleId="622" w:customStyle="1">
    <w:name w:val="Заголовок №6 (2)"/>
    <w:basedOn w:val="Normal"/>
    <w:link w:val="620"/>
    <w:qFormat/>
    <w:rsid w:val="009644a8"/>
    <w:pPr>
      <w:widowControl/>
      <w:shd w:val="clear" w:color="auto" w:fill="FFFFFF"/>
      <w:spacing w:lineRule="exact" w:line="322" w:before="240" w:after="0"/>
      <w:ind w:hanging="260"/>
      <w:contextualSpacing/>
      <w:outlineLvl w:val="5"/>
    </w:pPr>
    <w:rPr>
      <w:rFonts w:ascii="Calibri" w:hAnsi="Calibri"/>
      <w:b/>
      <w:bCs/>
      <w:sz w:val="33"/>
      <w:szCs w:val="33"/>
    </w:rPr>
  </w:style>
  <w:style w:type="paragraph" w:styleId="35" w:customStyle="1">
    <w:name w:val="Заголовок №3"/>
    <w:basedOn w:val="Normal"/>
    <w:link w:val="35"/>
    <w:qFormat/>
    <w:rsid w:val="009644a8"/>
    <w:pPr>
      <w:widowControl/>
      <w:shd w:val="clear" w:color="auto" w:fill="FFFFFF"/>
      <w:spacing w:lineRule="atLeast" w:line="240" w:before="240" w:after="240"/>
      <w:ind w:hanging="0"/>
      <w:contextualSpacing/>
      <w:jc w:val="center"/>
      <w:outlineLvl w:val="2"/>
    </w:pPr>
    <w:rPr>
      <w:rFonts w:ascii="Calibri" w:hAnsi="Calibri"/>
      <w:sz w:val="28"/>
      <w:szCs w:val="28"/>
    </w:rPr>
  </w:style>
  <w:style w:type="paragraph" w:styleId="75" w:customStyle="1">
    <w:name w:val="Заголовок №7"/>
    <w:basedOn w:val="Normal"/>
    <w:link w:val="72"/>
    <w:qFormat/>
    <w:rsid w:val="009644a8"/>
    <w:pPr>
      <w:widowControl/>
      <w:shd w:val="clear" w:color="auto" w:fill="FFFFFF"/>
      <w:spacing w:lineRule="exact" w:line="319" w:before="120" w:after="0"/>
      <w:ind w:hanging="400"/>
      <w:contextualSpacing/>
      <w:jc w:val="left"/>
      <w:outlineLvl w:val="6"/>
    </w:pPr>
    <w:rPr>
      <w:rFonts w:ascii="Calibri" w:hAnsi="Calibri"/>
      <w:b/>
      <w:bCs/>
      <w:sz w:val="28"/>
      <w:szCs w:val="28"/>
    </w:rPr>
  </w:style>
  <w:style w:type="paragraph" w:styleId="214" w:customStyle="1">
    <w:name w:val="Основной текст с отступом 21"/>
    <w:basedOn w:val="Normal"/>
    <w:qFormat/>
    <w:rsid w:val="009644a8"/>
    <w:pPr>
      <w:widowControl/>
      <w:spacing w:before="0" w:after="0"/>
      <w:ind w:firstLine="708"/>
      <w:contextualSpacing/>
      <w:jc w:val="left"/>
    </w:pPr>
    <w:rPr>
      <w:rFonts w:ascii="Arial" w:hAnsi="Arial" w:eastAsia="Times New Roman" w:cs="Arial"/>
      <w:bCs/>
      <w:szCs w:val="20"/>
      <w:lang w:eastAsia="ar-SA"/>
    </w:rPr>
  </w:style>
  <w:style w:type="paragraph" w:styleId="IG126" w:customStyle="1">
    <w:name w:val="Стиль Обычный_IG + 12 пт Междустр.интервал:  минимум 6 пт"/>
    <w:basedOn w:val="Normal"/>
    <w:uiPriority w:val="99"/>
    <w:qFormat/>
    <w:rsid w:val="009644a8"/>
    <w:pPr>
      <w:widowControl/>
      <w:suppressAutoHyphens w:val="true"/>
      <w:spacing w:lineRule="atLeast" w:line="120" w:before="0" w:after="0"/>
      <w:ind w:firstLine="709"/>
      <w:contextualSpacing/>
    </w:pPr>
    <w:rPr>
      <w:rFonts w:eastAsia="Times New Roman"/>
      <w:sz w:val="28"/>
      <w:szCs w:val="20"/>
      <w:lang w:eastAsia="ar-SA"/>
    </w:rPr>
  </w:style>
  <w:style w:type="paragraph" w:styleId="IG" w:customStyle="1">
    <w:name w:val="Обычный_IG"/>
    <w:basedOn w:val="Normal"/>
    <w:uiPriority w:val="99"/>
    <w:qFormat/>
    <w:rsid w:val="009644a8"/>
    <w:pPr>
      <w:widowControl/>
      <w:suppressAutoHyphens w:val="true"/>
      <w:spacing w:lineRule="auto" w:line="360" w:before="0" w:after="0"/>
      <w:ind w:firstLine="709"/>
      <w:contextualSpacing/>
    </w:pPr>
    <w:rPr>
      <w:rFonts w:eastAsia="Times New Roman"/>
      <w:sz w:val="28"/>
      <w:szCs w:val="28"/>
      <w:lang w:eastAsia="ar-SA"/>
    </w:rPr>
  </w:style>
  <w:style w:type="paragraph" w:styleId="Norrus" w:customStyle="1">
    <w:name w:val="Norrus"/>
    <w:uiPriority w:val="99"/>
    <w:qFormat/>
    <w:rsid w:val="009644a8"/>
    <w:pPr>
      <w:widowControl w:val="false"/>
      <w:suppressAutoHyphens w:val="true"/>
      <w:overflowPunct w:val="true"/>
      <w:bidi w:val="0"/>
      <w:spacing w:before="0" w:after="0"/>
      <w:contextualSpacing/>
      <w:jc w:val="left"/>
    </w:pPr>
    <w:rPr>
      <w:rFonts w:ascii="NTHelvetica/Cyrillic" w:hAnsi="NTHelvetica/Cyrillic" w:eastAsia="Times New Roman" w:cs="Times New Roman"/>
      <w:color w:val="auto"/>
      <w:sz w:val="24"/>
      <w:szCs w:val="20"/>
      <w:lang w:val="en-GB" w:eastAsia="ru-RU" w:bidi="ar-SA"/>
    </w:rPr>
  </w:style>
  <w:style w:type="paragraph" w:styleId="Style42" w:customStyle="1">
    <w:name w:val="ТЕКСТ ОСНОВНОЙ"/>
    <w:basedOn w:val="Normal"/>
    <w:link w:val="aff8"/>
    <w:qFormat/>
    <w:rsid w:val="009644a8"/>
    <w:pPr>
      <w:widowControl/>
      <w:suppressAutoHyphens w:val="true"/>
      <w:spacing w:lineRule="auto" w:line="276" w:before="0" w:after="140"/>
      <w:ind w:right="-2" w:firstLine="709"/>
      <w:contextualSpacing/>
    </w:pPr>
    <w:rPr>
      <w:rFonts w:eastAsia="Times New Roman"/>
    </w:rPr>
  </w:style>
  <w:style w:type="paragraph" w:styleId="122" w:customStyle="1">
    <w:name w:val="Текст1"/>
    <w:basedOn w:val="Normal"/>
    <w:link w:val="1a"/>
    <w:qFormat/>
    <w:rsid w:val="009644a8"/>
    <w:pPr>
      <w:widowControl/>
      <w:spacing w:before="0" w:after="0"/>
      <w:ind w:hanging="0"/>
      <w:contextualSpacing/>
      <w:jc w:val="left"/>
    </w:pPr>
    <w:rPr>
      <w:rFonts w:ascii="Courier New" w:hAnsi="Courier New" w:eastAsia="Times New Roman"/>
      <w:sz w:val="20"/>
      <w:szCs w:val="20"/>
    </w:rPr>
  </w:style>
  <w:style w:type="paragraph" w:styleId="Style43" w:customStyle="1">
    <w:name w:val="Штамп"/>
    <w:basedOn w:val="Normal"/>
    <w:uiPriority w:val="99"/>
    <w:qFormat/>
    <w:rsid w:val="009644a8"/>
    <w:pPr>
      <w:widowControl/>
      <w:spacing w:before="0" w:after="0"/>
      <w:ind w:hanging="0"/>
      <w:contextualSpacing/>
      <w:jc w:val="center"/>
    </w:pPr>
    <w:rPr>
      <w:rFonts w:ascii="ГОСТ тип А" w:hAnsi="ГОСТ тип А" w:eastAsia="Times New Roman"/>
      <w:i/>
      <w:sz w:val="18"/>
      <w:szCs w:val="20"/>
    </w:rPr>
  </w:style>
  <w:style w:type="paragraph" w:styleId="Style44" w:customStyle="1">
    <w:name w:val="Текст таблицы"/>
    <w:basedOn w:val="Normal"/>
    <w:uiPriority w:val="99"/>
    <w:qFormat/>
    <w:rsid w:val="009644a8"/>
    <w:pPr>
      <w:widowControl/>
      <w:spacing w:before="40" w:after="40"/>
      <w:ind w:hanging="0"/>
      <w:contextualSpacing/>
      <w:jc w:val="left"/>
    </w:pPr>
    <w:rPr>
      <w:rFonts w:ascii="Arial" w:hAnsi="Arial" w:eastAsia="Times New Roman"/>
      <w:sz w:val="20"/>
      <w:lang w:val="en-GB" w:eastAsia="en-US"/>
    </w:rPr>
  </w:style>
  <w:style w:type="paragraph" w:styleId="Style45" w:customStyle="1">
    <w:name w:val="Содержимое таблицы"/>
    <w:basedOn w:val="Normal"/>
    <w:qFormat/>
    <w:rsid w:val="00b60676"/>
    <w:pPr>
      <w:suppressLineNumbers/>
      <w:suppressAutoHyphens w:val="true"/>
      <w:ind w:hanging="0"/>
      <w:jc w:val="left"/>
    </w:pPr>
    <w:rPr>
      <w:rFonts w:ascii="Arial" w:hAnsi="Arial" w:eastAsia="Lucida Sans Unicode" w:cs="Tahoma"/>
      <w:lang w:bidi="ru-RU"/>
    </w:rPr>
  </w:style>
  <w:style w:type="paragraph" w:styleId="Style46" w:customStyle="1">
    <w:name w:val="Заголовок таблицы"/>
    <w:basedOn w:val="Normal"/>
    <w:uiPriority w:val="99"/>
    <w:qFormat/>
    <w:rsid w:val="009644a8"/>
    <w:pPr>
      <w:widowControl/>
      <w:spacing w:before="60" w:after="60"/>
      <w:ind w:hanging="0"/>
      <w:contextualSpacing/>
      <w:jc w:val="center"/>
    </w:pPr>
    <w:rPr>
      <w:rFonts w:ascii="Arial" w:hAnsi="Arial" w:eastAsia="Times New Roman"/>
      <w:b/>
      <w:sz w:val="22"/>
      <w:lang w:eastAsia="en-US"/>
    </w:rPr>
  </w:style>
  <w:style w:type="paragraph" w:styleId="Indent" w:customStyle="1">
    <w:name w:val="indent"/>
    <w:basedOn w:val="Normal"/>
    <w:uiPriority w:val="99"/>
    <w:qFormat/>
    <w:rsid w:val="009644a8"/>
    <w:pPr>
      <w:widowControl/>
      <w:spacing w:beforeAutospacing="1" w:after="180"/>
      <w:ind w:firstLine="300"/>
      <w:contextualSpacing/>
      <w:jc w:val="left"/>
    </w:pPr>
    <w:rPr>
      <w:rFonts w:eastAsia="Times New Roman"/>
    </w:rPr>
  </w:style>
  <w:style w:type="paragraph" w:styleId="210" w:customStyle="1">
    <w:name w:val="Стиль2"/>
    <w:basedOn w:val="Normal"/>
    <w:uiPriority w:val="99"/>
    <w:qFormat/>
    <w:rsid w:val="009644a8"/>
    <w:pPr>
      <w:widowControl/>
      <w:spacing w:before="0" w:after="0"/>
      <w:contextualSpacing/>
      <w:jc w:val="left"/>
    </w:pPr>
    <w:rPr>
      <w:rFonts w:eastAsia="Times New Roman"/>
    </w:rPr>
  </w:style>
  <w:style w:type="paragraph" w:styleId="HEADERTEXT" w:customStyle="1">
    <w:name w:val=".HEADERTEXT"/>
    <w:uiPriority w:val="99"/>
    <w:qFormat/>
    <w:rsid w:val="009644a8"/>
    <w:pPr>
      <w:widowControl w:val="false"/>
      <w:bidi w:val="0"/>
      <w:spacing w:before="0" w:after="0"/>
      <w:contextualSpacing/>
      <w:jc w:val="left"/>
    </w:pPr>
    <w:rPr>
      <w:rFonts w:ascii="Times New Roman" w:hAnsi="Times New Roman" w:eastAsia="Times New Roman" w:cs="Times New Roman"/>
      <w:color w:val="2B4279"/>
      <w:sz w:val="24"/>
      <w:szCs w:val="24"/>
      <w:lang w:val="ru-RU" w:eastAsia="ru-RU" w:bidi="ar-SA"/>
    </w:rPr>
  </w:style>
  <w:style w:type="paragraph" w:styleId="215" w:customStyle="1">
    <w:name w:val="Знак Знак Знак Знак Знак Знак2"/>
    <w:basedOn w:val="Normal"/>
    <w:uiPriority w:val="99"/>
    <w:qFormat/>
    <w:rsid w:val="009644a8"/>
    <w:pPr>
      <w:spacing w:lineRule="exact" w:line="240" w:before="0" w:after="160"/>
      <w:ind w:hanging="0"/>
      <w:contextualSpacing/>
      <w:jc w:val="right"/>
    </w:pPr>
    <w:rPr>
      <w:rFonts w:eastAsia="Times New Roman"/>
      <w:sz w:val="20"/>
      <w:szCs w:val="20"/>
      <w:lang w:val="en-GB" w:eastAsia="en-US"/>
    </w:rPr>
  </w:style>
  <w:style w:type="paragraph" w:styleId="Style47" w:customStyle="1">
    <w:name w:val="_Основной текст"/>
    <w:basedOn w:val="Normal"/>
    <w:link w:val="2c"/>
    <w:autoRedefine/>
    <w:qFormat/>
    <w:rsid w:val="00212bd0"/>
    <w:pPr>
      <w:widowControl/>
      <w:ind w:left="142" w:firstLine="567"/>
      <w:jc w:val="left"/>
    </w:pPr>
    <w:rPr>
      <w:rFonts w:eastAsia="Times New Roman"/>
    </w:rPr>
  </w:style>
  <w:style w:type="paragraph" w:styleId="Style48" w:customStyle="1">
    <w:name w:val="-=Заголовок раздела=-"/>
    <w:autoRedefine/>
    <w:qFormat/>
    <w:rsid w:val="006f1061"/>
    <w:pPr>
      <w:keepNext/>
      <w:widowControl/>
      <w:tabs>
        <w:tab w:val="left" w:pos="1276" w:leader="none"/>
      </w:tabs>
      <w:bidi w:val="0"/>
      <w:spacing w:lineRule="auto" w:line="360" w:before="120" w:after="120"/>
      <w:ind w:firstLine="567"/>
      <w:contextualSpacing/>
      <w:jc w:val="left"/>
      <w:outlineLvl w:val="0"/>
    </w:pPr>
    <w:rPr>
      <w:rFonts w:ascii="Times New Roman" w:hAnsi="Times New Roman" w:eastAsia="Times New Roman" w:cs="Times New Roman"/>
      <w:bCs/>
      <w:color w:val="000000"/>
      <w:sz w:val="28"/>
      <w:szCs w:val="28"/>
      <w:lang w:val="ru-RU" w:eastAsia="ru-RU" w:bidi="ar-SA"/>
    </w:rPr>
  </w:style>
  <w:style w:type="paragraph" w:styleId="Western" w:customStyle="1">
    <w:name w:val="western"/>
    <w:basedOn w:val="Normal"/>
    <w:qFormat/>
    <w:rsid w:val="00f3476b"/>
    <w:pPr>
      <w:widowControl/>
      <w:spacing w:beforeAutospacing="1" w:after="119"/>
      <w:ind w:hanging="0"/>
      <w:jc w:val="left"/>
    </w:pPr>
    <w:rPr>
      <w:rFonts w:ascii="Arial" w:hAnsi="Arial" w:eastAsia="Times New Roman" w:cs="Arial"/>
    </w:rPr>
  </w:style>
  <w:style w:type="paragraph" w:styleId="Textbody" w:customStyle="1">
    <w:name w:val="Text body"/>
    <w:basedOn w:val="Normal"/>
    <w:qFormat/>
    <w:rsid w:val="00b60676"/>
    <w:pPr>
      <w:suppressAutoHyphens w:val="true"/>
      <w:spacing w:before="0" w:after="120"/>
      <w:ind w:left="283" w:right="283" w:firstLine="567"/>
      <w:jc w:val="left"/>
      <w:textAlignment w:val="baseline"/>
    </w:pPr>
    <w:rPr>
      <w:rFonts w:ascii="Arial" w:hAnsi="Arial" w:eastAsia="Times New Roman" w:cs="Tahoma"/>
    </w:rPr>
  </w:style>
  <w:style w:type="paragraph" w:styleId="Style49" w:customStyle="1">
    <w:name w:val="Подраздел"/>
    <w:basedOn w:val="Normal"/>
    <w:autoRedefine/>
    <w:qFormat/>
    <w:rsid w:val="00b10707"/>
    <w:pPr>
      <w:keepNext/>
      <w:suppressAutoHyphens w:val="true"/>
      <w:ind w:left="-567" w:right="-1" w:firstLine="709"/>
      <w:jc w:val="center"/>
    </w:pPr>
    <w:rPr>
      <w:rFonts w:eastAsia="Lucida Sans Unicode"/>
      <w:b/>
      <w:lang w:bidi="ru-RU"/>
    </w:rPr>
  </w:style>
  <w:style w:type="paragraph" w:styleId="ConsPlusNormal1" w:customStyle="1">
    <w:name w:val="ConsPlusNormal"/>
    <w:link w:val="ConsPlusNormal0"/>
    <w:qFormat/>
    <w:rsid w:val="00ad2a4c"/>
    <w:pPr>
      <w:widowControl w:val="false"/>
      <w:bidi w:val="0"/>
      <w:ind w:firstLine="720"/>
      <w:jc w:val="left"/>
    </w:pPr>
    <w:rPr>
      <w:rFonts w:ascii="Arial" w:hAnsi="Arial" w:eastAsia="Times New Roman" w:cs="Arial"/>
      <w:color w:val="auto"/>
      <w:sz w:val="24"/>
      <w:szCs w:val="20"/>
      <w:lang w:val="ru-RU" w:eastAsia="ru-RU" w:bidi="ar-SA"/>
    </w:rPr>
  </w:style>
  <w:style w:type="paragraph" w:styleId="Standard" w:customStyle="1">
    <w:name w:val="Standard"/>
    <w:qFormat/>
    <w:rsid w:val="00ad2a4c"/>
    <w:pPr>
      <w:widowControl/>
      <w:bidi w:val="0"/>
      <w:spacing w:lineRule="auto" w:line="300"/>
      <w:ind w:firstLine="709"/>
      <w:jc w:val="left"/>
      <w:textAlignment w:val="baseline"/>
    </w:pPr>
    <w:rPr>
      <w:rFonts w:ascii="Arial" w:hAnsi="Arial" w:eastAsia="Times New Roman" w:cs="Times New Roman"/>
      <w:color w:val="auto"/>
      <w:sz w:val="28"/>
      <w:szCs w:val="20"/>
      <w:lang w:val="ru-RU" w:eastAsia="ru-RU" w:bidi="ar-SA"/>
    </w:rPr>
  </w:style>
  <w:style w:type="paragraph" w:styleId="54" w:customStyle="1">
    <w:name w:val="Обычный5"/>
    <w:qFormat/>
    <w:rsid w:val="005f670e"/>
    <w:pPr>
      <w:widowControl w:val="false"/>
      <w:bidi w:val="0"/>
      <w:jc w:val="left"/>
    </w:pPr>
    <w:rPr>
      <w:rFonts w:ascii="Times New Roman" w:hAnsi="Times New Roman" w:eastAsia="Times New Roman" w:cs="Times New Roman"/>
      <w:color w:val="auto"/>
      <w:sz w:val="24"/>
      <w:szCs w:val="20"/>
      <w:lang w:val="en-US" w:eastAsia="ru-RU" w:bidi="ar-SA"/>
    </w:rPr>
  </w:style>
  <w:style w:type="paragraph" w:styleId="Style50">
    <w:name w:val="Содержимое врезки"/>
    <w:basedOn w:val="Normal"/>
    <w:qFormat/>
    <w:pPr/>
    <w:rPr/>
  </w:style>
  <w:style w:type="numbering" w:styleId="NoList" w:default="1">
    <w:name w:val="No List"/>
    <w:uiPriority w:val="99"/>
    <w:semiHidden/>
    <w:unhideWhenUsed/>
    <w:qFormat/>
  </w:style>
  <w:style w:type="table" w:default="1" w:styleId="a2">
    <w:name w:val="Normal Table"/>
    <w:uiPriority w:val="99"/>
    <w:semiHidden/>
    <w:unhideWhenUsed/>
    <w:tblPr>
      <w:tblInd w:w="0" w:type="dxa"/>
      <w:tblCellMar>
        <w:top w:w="0" w:type="dxa"/>
        <w:left w:w="108" w:type="dxa"/>
        <w:bottom w:w="0" w:type="dxa"/>
        <w:right w:w="108" w:type="dxa"/>
      </w:tblCellMar>
    </w:tblPr>
  </w:style>
  <w:style w:type="table" w:styleId="afff0">
    <w:name w:val="Table Grid"/>
    <w:basedOn w:val="a2"/>
    <w:rsid w:val="009644a8"/>
    <w:pPr>
      <w:jc w:val="left"/>
    </w:pPr>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footer" Target="footer1.xml"/><Relationship Id="rId8" Type="http://schemas.openxmlformats.org/officeDocument/2006/relationships/numbering" Target="numbering.xml"/><Relationship Id="rId9" Type="http://schemas.openxmlformats.org/officeDocument/2006/relationships/fontTable" Target="fontTable.xml"/><Relationship Id="rId10" Type="http://schemas.openxmlformats.org/officeDocument/2006/relationships/settings" Target="settings.xml"/><Relationship Id="rId11" Type="http://schemas.openxmlformats.org/officeDocument/2006/relationships/theme" Target="theme/theme1.xml"/><Relationship Id="rId12"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CC1FB3-7F2D-4A7E-B829-6A07298C52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Application>LibreOffice/5.2.3.3$Windows_x86 LibreOffice_project/d54a8868f08a7b39642414cf2c8ef2f228f780cf</Application>
  <Pages>83</Pages>
  <Words>29297</Words>
  <Characters>207538</Characters>
  <CharactersWithSpaces>236185</CharactersWithSpaces>
  <Paragraphs>2461</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2018-03-21T07:31:00Z</dcterms:created>
  <dc:creator>1</dc:creator>
  <dc:description/>
  <dc:language>ru-RU</dc:language>
  <cp:lastModifiedBy/>
  <cp:lastPrinted>2016-12-13T16:28:00Z</cp:lastPrinted>
  <dcterms:modified xsi:type="dcterms:W3CDTF">2018-03-21T14:37:08Z</dcterms:modified>
  <cp:revision>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