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4.jpeg" ContentType="image/jpeg"/>
  <Override PartName="/word/media/image2.png" ContentType="image/pn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hanging="0"/>
        <w:jc w:val="center"/>
        <w:rPr>
          <w:rFonts w:eastAsia="Times New Roman"/>
          <w:b/>
          <w:b/>
          <w:bCs/>
          <w:color w:val="000000" w:themeColor="text1"/>
          <w:highlight w:val="yellow"/>
        </w:rPr>
      </w:pPr>
      <w:r>
        <w:rPr>
          <w:rFonts w:eastAsia="Times New Roman"/>
          <w:b/>
          <w:bCs/>
          <w:color w:val="000000" w:themeColor="text1"/>
          <w:highlight w:val="yellow"/>
        </w:rPr>
      </w:r>
    </w:p>
    <w:p>
      <w:pPr>
        <w:pStyle w:val="Normal"/>
        <w:widowControl/>
        <w:ind w:hanging="0"/>
        <w:rPr>
          <w:rFonts w:eastAsia="Times New Roman"/>
          <w:b/>
          <w:b/>
          <w:bCs/>
          <w:color w:val="000000" w:themeColor="text1"/>
          <w:highlight w:val="yellow"/>
        </w:rPr>
      </w:pPr>
      <w:r>
        <w:rPr>
          <w:rFonts w:eastAsia="Times New Roman"/>
          <w:b/>
          <w:bCs/>
          <w:color w:val="000000" w:themeColor="text1"/>
          <w:highlight w:val="yello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89192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spacing w:beforeAutospacing="1" w:afterAutospacing="1"/>
        <w:ind w:right="-1" w:firstLine="709"/>
        <w:jc w:val="center"/>
        <w:rPr>
          <w:rFonts w:eastAsia="Times New Roman"/>
          <w:b/>
          <w:b/>
          <w:bCs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1. Общие положения</w:t>
      </w:r>
    </w:p>
    <w:p>
      <w:pPr>
        <w:pStyle w:val="Normal"/>
        <w:widowControl/>
        <w:spacing w:beforeAutospacing="1" w:afterAutospacing="1"/>
        <w:ind w:right="-1" w:hanging="0"/>
        <w:rPr>
          <w:rFonts w:eastAsia="Times New Roman"/>
          <w:color w:val="000000" w:themeColor="text1"/>
        </w:rPr>
      </w:pPr>
      <w:r>
        <w:rPr>
          <w:rFonts w:eastAsia="Times New Roman"/>
          <w:b/>
          <w:color w:val="000000" w:themeColor="text1"/>
        </w:rPr>
        <w:t>1.1. Основания для проведения негосударственной экспертизы</w:t>
      </w:r>
      <w:r>
        <w:rPr>
          <w:rFonts w:eastAsia="Times New Roman"/>
          <w:color w:val="000000" w:themeColor="text1"/>
        </w:rPr>
        <w:t>:</w:t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- заявление о проведении повторной негосударственной экспертизы проектной документации.</w:t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</w:p>
    <w:p>
      <w:pPr>
        <w:pStyle w:val="Normal"/>
        <w:widowControl/>
        <w:ind w:right="-1" w:hanging="0"/>
        <w:rPr>
          <w:color w:val="000000" w:themeColor="text1"/>
        </w:rPr>
      </w:pPr>
      <w:r>
        <w:rPr>
          <w:rFonts w:eastAsia="Times New Roman"/>
          <w:color w:val="000000" w:themeColor="text1"/>
        </w:rPr>
        <w:t xml:space="preserve">- договор № 88/1/17 от 20.11.2017г. о проведении повторной негосударственной экспертизы проектной документации в части внесенных изменений в раздел ИОС 2,3 и дополнительным разделом ПОД </w:t>
      </w:r>
      <w:r>
        <w:rPr>
          <w:rStyle w:val="FontStyle19"/>
          <w:color w:val="000000" w:themeColor="text1"/>
        </w:rPr>
        <w:t>по объекту: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</w:rPr>
        <w:t>«Многоквартирные многоэтажные  жилые дома со встроенно-пристроенными помещениями делового, культурного и обслуживающего назначения по ул. Юбилейной в Автозаводском районе г. Тольятти. Жилой дом поз. 4», 1 и 2 этапы строительства.</w:t>
      </w:r>
    </w:p>
    <w:p>
      <w:pPr>
        <w:pStyle w:val="Normal"/>
        <w:widowControl/>
        <w:ind w:right="-1" w:hanging="0"/>
        <w:rPr>
          <w:rStyle w:val="FontStyle19"/>
          <w:color w:val="000000" w:themeColor="text1"/>
        </w:rPr>
      </w:pPr>
      <w:r>
        <w:rPr>
          <w:color w:val="000000" w:themeColor="text1"/>
        </w:rPr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  <w:highlight w:val="yellow"/>
        </w:rPr>
      </w:pPr>
      <w:r>
        <w:rPr>
          <w:rFonts w:eastAsia="Times New Roman"/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1.2. Сведения об объекте негосударственной экспертизы с указанием вида и наименования рассматриваемой документации (материалов), разделов такой документации:</w:t>
      </w:r>
    </w:p>
    <w:p>
      <w:pPr>
        <w:pStyle w:val="Normal"/>
        <w:widowControl/>
        <w:ind w:left="-567" w:right="14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tbl>
      <w:tblPr>
        <w:tblW w:w="9734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23"/>
        <w:gridCol w:w="5632"/>
        <w:gridCol w:w="1491"/>
        <w:gridCol w:w="1987"/>
      </w:tblGrid>
      <w:tr>
        <w:trPr/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ind w:left="-567" w:firstLine="567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5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ind w:left="-567" w:firstLine="567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276"/>
              <w:ind w:left="-567" w:firstLine="567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Наименование документации 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ind w:left="-567" w:firstLine="567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 xml:space="preserve">тома 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/>
                <w:b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/>
                <w:bCs/>
                <w:sz w:val="22"/>
                <w:szCs w:val="22"/>
                <w:lang w:bidi="ru-RU"/>
              </w:rPr>
              <w:t>Обозначение</w:t>
            </w:r>
          </w:p>
        </w:tc>
      </w:tr>
      <w:tr>
        <w:trPr/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spacing w:lineRule="auto" w:line="276"/>
              <w:ind w:left="-567" w:firstLine="567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1</w:t>
            </w:r>
          </w:p>
        </w:tc>
        <w:tc>
          <w:tcPr>
            <w:tcW w:w="5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9689" w:leader="dot"/>
              </w:tabs>
              <w:suppressAutoHyphens w:val="true"/>
              <w:spacing w:lineRule="auto" w:line="276"/>
              <w:ind w:left="-567" w:firstLine="567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Подраздел 2, 3. Система водоснабжения.</w:t>
            </w:r>
          </w:p>
          <w:p>
            <w:pPr>
              <w:pStyle w:val="Normal"/>
              <w:suppressLineNumbers/>
              <w:tabs>
                <w:tab w:val="right" w:pos="9689" w:leader="dot"/>
              </w:tabs>
              <w:suppressAutoHyphens w:val="true"/>
              <w:spacing w:lineRule="auto" w:line="276"/>
              <w:ind w:left="-567" w:firstLine="567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Система водоотведения.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5.2, 5.3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9/16-ИОС2, 3</w:t>
            </w:r>
          </w:p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</w:r>
          </w:p>
        </w:tc>
      </w:tr>
      <w:tr>
        <w:trPr/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spacing w:lineRule="auto" w:line="276"/>
              <w:ind w:left="-567" w:firstLine="567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2</w:t>
            </w:r>
          </w:p>
        </w:tc>
        <w:tc>
          <w:tcPr>
            <w:tcW w:w="5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Раздел 7. Проект организации демонтажа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7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9/16-ПОД</w:t>
            </w:r>
          </w:p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</w:r>
          </w:p>
        </w:tc>
      </w:tr>
    </w:tbl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</w:p>
    <w:p>
      <w:pPr>
        <w:pStyle w:val="Normal"/>
        <w:ind w:right="-1" w:hanging="0"/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1.3. Идентификационные сведения об объекте капитального строительства:</w:t>
      </w:r>
    </w:p>
    <w:p>
      <w:pPr>
        <w:pStyle w:val="Normal"/>
        <w:widowControl/>
        <w:ind w:right="-1" w:hanging="0"/>
        <w:rPr>
          <w:b/>
          <w:b/>
          <w:color w:val="000000" w:themeColor="text1"/>
        </w:rPr>
      </w:pPr>
      <w:r>
        <w:rPr>
          <w:b/>
          <w:color w:val="000000" w:themeColor="text1"/>
        </w:rPr>
      </w:r>
    </w:p>
    <w:p>
      <w:pPr>
        <w:pStyle w:val="Normal"/>
        <w:widowControl/>
        <w:ind w:right="-1" w:hanging="0"/>
        <w:rPr>
          <w:color w:val="000000" w:themeColor="text1"/>
        </w:rPr>
      </w:pPr>
      <w:r>
        <w:rPr>
          <w:b/>
          <w:bCs/>
          <w:color w:val="000000" w:themeColor="text1"/>
        </w:rPr>
        <w:t>1.3.1. Наименование объекта:</w:t>
      </w:r>
      <w:r>
        <w:rPr>
          <w:bCs/>
          <w:color w:val="000000" w:themeColor="text1"/>
        </w:rPr>
        <w:t xml:space="preserve"> </w:t>
      </w:r>
      <w:r>
        <w:rPr>
          <w:color w:val="000000" w:themeColor="text1"/>
        </w:rPr>
        <w:t xml:space="preserve">«Многоквартирные многоэтажные  жилые дома со встроенно-пристроенными помещениями делового, культурного и обслуживающего назначения по ул. Юбилейной в Автозаводском районе г. Тольятти. Жилой дом поз. 4, 1 и 2 этапы строительства. </w:t>
      </w:r>
      <w:bookmarkStart w:id="0" w:name="_GoBack"/>
      <w:bookmarkEnd w:id="0"/>
      <w:r>
        <w:rPr>
          <w:color w:val="000000" w:themeColor="text1"/>
        </w:rPr>
        <w:t>»</w:t>
      </w:r>
    </w:p>
    <w:p>
      <w:pPr>
        <w:pStyle w:val="Normal"/>
        <w:widowControl/>
        <w:ind w:right="-1" w:hanging="0"/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Normal"/>
        <w:widowControl/>
        <w:ind w:right="-1" w:hanging="0"/>
        <w:rPr>
          <w:rFonts w:eastAsia="Times New Roman"/>
          <w:bCs/>
          <w:color w:val="000000" w:themeColor="text1"/>
        </w:rPr>
      </w:pPr>
      <w:r>
        <w:rPr>
          <w:rFonts w:eastAsia="Times New Roman"/>
          <w:b/>
          <w:color w:val="000000" w:themeColor="text1"/>
        </w:rPr>
        <w:t>1.3.2. Месторасположение объекта:</w:t>
      </w:r>
      <w:r>
        <w:rPr>
          <w:rFonts w:eastAsia="Times New Roman"/>
          <w:color w:val="000000" w:themeColor="text1"/>
        </w:rPr>
        <w:t xml:space="preserve"> </w:t>
      </w:r>
      <w:r>
        <w:rPr>
          <w:color w:val="000000" w:themeColor="text1"/>
        </w:rPr>
        <w:t>Самарская область, г. Тольятти, ул. Юбилейная.</w:t>
      </w:r>
    </w:p>
    <w:p>
      <w:pPr>
        <w:pStyle w:val="Normal"/>
        <w:widowControl/>
        <w:ind w:right="-1" w:hanging="0"/>
        <w:rPr>
          <w:color w:val="000000" w:themeColor="text1"/>
          <w:highlight w:val="yellow"/>
        </w:rPr>
      </w:pPr>
      <w:r>
        <w:rPr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color w:val="000000" w:themeColor="text1"/>
          <w:highlight w:val="yellow"/>
        </w:rPr>
      </w:pPr>
      <w:r>
        <w:rPr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1.3.3. Технико-экономические показатели объекта капитального строительства:</w:t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tbl>
      <w:tblPr>
        <w:tblW w:w="1003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5093"/>
        <w:gridCol w:w="1189"/>
        <w:gridCol w:w="1116"/>
        <w:gridCol w:w="1397"/>
        <w:gridCol w:w="1"/>
        <w:gridCol w:w="1235"/>
      </w:tblGrid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Наименование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Ед.изм.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1 этап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 этап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Всего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Площадь участка в границах землеотвода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25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13895</w:t>
            </w:r>
          </w:p>
        </w:tc>
        <w:tc>
          <w:tcPr>
            <w:tcW w:w="12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13895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>
                <w:lang w:eastAsia="ar-SA"/>
              </w:rPr>
            </w:pPr>
            <w:r>
              <w:rPr>
                <w:lang w:eastAsia="ar-SA"/>
              </w:rPr>
              <w:t>В т.ч. площадь земельного участка по этапам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>
                <w:vertAlign w:val="superscript"/>
                <w:lang w:eastAsia="ar-SA"/>
              </w:rPr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7430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6465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13895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Площадь застройки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2008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2133,63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4141,63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Общая площадь здания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14982,15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16303,13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31285,28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Общая жилая площадь (при наличии)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11395,28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9995,49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21390,77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>
                <w:lang w:eastAsia="ar-SA"/>
              </w:rPr>
            </w:pPr>
            <w:r>
              <w:rPr>
                <w:lang w:eastAsia="ar-SA"/>
              </w:rPr>
              <w:t>Нежилая площадь:</w:t>
            </w:r>
          </w:p>
          <w:p>
            <w:pPr>
              <w:pStyle w:val="Normal"/>
              <w:suppressAutoHyphens w:val="true"/>
              <w:ind w:hanging="0"/>
              <w:rPr>
                <w:lang w:eastAsia="ar-SA"/>
              </w:rPr>
            </w:pPr>
            <w:r>
              <w:rPr>
                <w:lang w:eastAsia="ar-SA"/>
              </w:rPr>
              <w:t>встроенно-пристроенных нежилых помещений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2009,01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2009,01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>
                <w:lang w:eastAsia="ar-SA"/>
              </w:rPr>
            </w:pPr>
            <w:r>
              <w:rPr>
                <w:lang w:eastAsia="ar-SA"/>
              </w:rPr>
              <w:t>Строительный объем, в т.ч.</w:t>
            </w:r>
          </w:p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подземной части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>
                <w:vertAlign w:val="superscript"/>
              </w:rPr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58702</w:t>
            </w:r>
          </w:p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4132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48318,19</w:t>
            </w:r>
          </w:p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5655,65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107020,19</w:t>
            </w:r>
          </w:p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9787,65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Кол-во этажей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этаж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10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 xml:space="preserve">10-17-жилые, </w:t>
            </w:r>
          </w:p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3-нежилое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</w:r>
          </w:p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х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Кол-во квартир (при наличии)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188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164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352</w:t>
            </w:r>
          </w:p>
        </w:tc>
      </w:tr>
    </w:tbl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widowControl/>
        <w:ind w:right="14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widowControl/>
        <w:ind w:right="-1" w:firstLine="567"/>
        <w:rPr>
          <w:rFonts w:eastAsia="Times New Roman"/>
          <w:b/>
          <w:b/>
          <w:color w:val="000000" w:themeColor="text1"/>
          <w:highlight w:val="yellow"/>
        </w:rPr>
      </w:pPr>
      <w:r>
        <w:rPr>
          <w:rFonts w:eastAsia="Times New Roman"/>
          <w:b/>
          <w:color w:val="000000" w:themeColor="text1"/>
          <w:highlight w:val="yellow"/>
        </w:rPr>
      </w:r>
    </w:p>
    <w:p>
      <w:pPr>
        <w:pStyle w:val="Normal"/>
        <w:widowControl/>
        <w:ind w:right="-1" w:firstLine="567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1.4. Вид, функциональное назначение и характерные особенности объекта капитального строительства.</w:t>
      </w:r>
    </w:p>
    <w:p>
      <w:pPr>
        <w:pStyle w:val="Normal"/>
        <w:widowControl/>
        <w:ind w:right="-1" w:firstLine="567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  <w:lang w:val="en-US"/>
        </w:rPr>
        <w:t>I</w:t>
      </w:r>
      <w:r>
        <w:rPr>
          <w:rFonts w:eastAsia="Times New Roman"/>
          <w:b/>
          <w:color w:val="000000" w:themeColor="text1"/>
        </w:rPr>
        <w:t xml:space="preserve"> этап</w:t>
      </w:r>
    </w:p>
    <w:p>
      <w:pPr>
        <w:pStyle w:val="Textbody"/>
        <w:spacing w:before="0" w:after="0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Уровень ответственности здания — </w:t>
      </w:r>
      <w:r>
        <w:rPr>
          <w:rFonts w:cs="Times New Roman" w:ascii="Times New Roman" w:hAnsi="Times New Roman"/>
          <w:lang w:val="en-US"/>
        </w:rPr>
        <w:t>II</w:t>
      </w:r>
      <w:r>
        <w:rPr>
          <w:rFonts w:cs="Times New Roman" w:ascii="Times New Roman" w:hAnsi="Times New Roman"/>
        </w:rPr>
        <w:t>;</w:t>
      </w:r>
    </w:p>
    <w:p>
      <w:pPr>
        <w:pStyle w:val="Textbody"/>
        <w:spacing w:before="0" w:after="0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Степень огнестойкости здания — </w:t>
      </w:r>
      <w:r>
        <w:rPr>
          <w:rFonts w:cs="Times New Roman" w:ascii="Times New Roman" w:hAnsi="Times New Roman"/>
          <w:lang w:val="en-US"/>
        </w:rPr>
        <w:t>II</w:t>
      </w:r>
      <w:r>
        <w:rPr>
          <w:rFonts w:cs="Times New Roman" w:ascii="Times New Roman" w:hAnsi="Times New Roman"/>
        </w:rPr>
        <w:t>;</w:t>
      </w:r>
    </w:p>
    <w:p>
      <w:pPr>
        <w:pStyle w:val="Textbody"/>
        <w:spacing w:before="0" w:after="0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Класс функциональной пожарной опасности здания — Ф1.3;</w:t>
      </w:r>
    </w:p>
    <w:p>
      <w:pPr>
        <w:pStyle w:val="Textbody"/>
        <w:spacing w:before="0" w:after="0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Класс конструктивной пожарной опасности здания — С1;</w:t>
      </w:r>
    </w:p>
    <w:p>
      <w:pPr>
        <w:pStyle w:val="Textbody"/>
        <w:spacing w:before="0" w:after="0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Класс пожарной опасности строительных конструкций — К0;</w:t>
      </w:r>
    </w:p>
    <w:p>
      <w:pPr>
        <w:pStyle w:val="Textbody"/>
        <w:spacing w:before="0" w:after="0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Класс пожарной опасности строительных материалов — КМ1.</w:t>
      </w:r>
    </w:p>
    <w:p>
      <w:pPr>
        <w:pStyle w:val="Textbody"/>
        <w:spacing w:before="0" w:after="0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Textbody"/>
        <w:spacing w:before="0" w:after="0"/>
        <w:ind w:left="0" w:right="-1" w:hanging="0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lang w:val="en-US"/>
        </w:rPr>
        <w:t>II</w:t>
      </w:r>
      <w:r>
        <w:rPr>
          <w:rFonts w:cs="Times New Roman" w:ascii="Times New Roman" w:hAnsi="Times New Roman"/>
          <w:b/>
        </w:rPr>
        <w:t xml:space="preserve"> этап</w:t>
      </w:r>
    </w:p>
    <w:p>
      <w:pPr>
        <w:pStyle w:val="Textbody"/>
        <w:spacing w:before="0" w:after="0"/>
        <w:ind w:left="0" w:right="-1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Уровень ответственности здания — </w:t>
      </w:r>
      <w:r>
        <w:rPr>
          <w:rFonts w:cs="Times New Roman" w:ascii="Times New Roman" w:hAnsi="Times New Roman"/>
          <w:lang w:val="en-US"/>
        </w:rPr>
        <w:t>II</w:t>
      </w:r>
      <w:r>
        <w:rPr>
          <w:rFonts w:cs="Times New Roman" w:ascii="Times New Roman" w:hAnsi="Times New Roman"/>
        </w:rPr>
        <w:t>;</w:t>
      </w:r>
    </w:p>
    <w:p>
      <w:pPr>
        <w:pStyle w:val="Textbody"/>
        <w:spacing w:before="0" w:after="0"/>
        <w:ind w:left="0" w:right="-1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Степень огнестойкости здания — </w:t>
      </w:r>
      <w:r>
        <w:rPr>
          <w:rFonts w:cs="Times New Roman" w:ascii="Times New Roman" w:hAnsi="Times New Roman"/>
          <w:lang w:val="en-US"/>
        </w:rPr>
        <w:t>II</w:t>
      </w:r>
      <w:r>
        <w:rPr>
          <w:rFonts w:cs="Times New Roman" w:ascii="Times New Roman" w:hAnsi="Times New Roman"/>
        </w:rPr>
        <w:t>;</w:t>
      </w:r>
    </w:p>
    <w:p>
      <w:pPr>
        <w:pStyle w:val="Textbody"/>
        <w:spacing w:before="0" w:after="0"/>
        <w:ind w:left="0" w:right="-1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Класс функциональной пожарной опасности здания — Ф1.3 (жилые секции), Ф4.3 (офисные помещения, нежилые помещения (офисы));</w:t>
      </w:r>
    </w:p>
    <w:p>
      <w:pPr>
        <w:pStyle w:val="Textbody"/>
        <w:spacing w:before="0" w:after="0"/>
        <w:ind w:left="0" w:right="-1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Класс конструктивной пожарной опасности здания — С1 (секции 6,7, здание с нежилыми помещениями (офисы)), СО (секция 8);</w:t>
      </w:r>
    </w:p>
    <w:p>
      <w:pPr>
        <w:pStyle w:val="Textbody"/>
        <w:spacing w:before="0" w:after="0"/>
        <w:ind w:left="0" w:right="-1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Класс пожарной опасности строительных конструкций — К0;</w:t>
      </w:r>
    </w:p>
    <w:p>
      <w:pPr>
        <w:pStyle w:val="Textbody"/>
        <w:spacing w:before="0" w:after="0"/>
        <w:ind w:left="0" w:right="-1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Класс пожарной опасности строительных материалов — КМ1.</w:t>
      </w:r>
    </w:p>
    <w:p>
      <w:pPr>
        <w:pStyle w:val="Textbody"/>
        <w:spacing w:before="0" w:after="0"/>
        <w:ind w:left="0" w:right="-1" w:hanging="0"/>
        <w:rPr>
          <w:color w:val="000000" w:themeColor="text1"/>
          <w:szCs w:val="28"/>
          <w:highlight w:val="yellow"/>
        </w:rPr>
      </w:pPr>
      <w:r>
        <w:rPr>
          <w:color w:val="000000" w:themeColor="text1"/>
          <w:szCs w:val="28"/>
          <w:highlight w:val="yellow"/>
        </w:rPr>
      </w:r>
    </w:p>
    <w:p>
      <w:pPr>
        <w:pStyle w:val="Normal"/>
        <w:spacing w:before="0" w:after="0"/>
        <w:ind w:right="-1" w:firstLine="709"/>
        <w:contextualSpacing/>
        <w:rPr>
          <w:color w:val="000000" w:themeColor="text1"/>
          <w:szCs w:val="28"/>
          <w:highlight w:val="yellow"/>
        </w:rPr>
      </w:pPr>
      <w:r>
        <w:rPr>
          <w:color w:val="000000" w:themeColor="text1"/>
          <w:szCs w:val="28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1.5. Идентификационные сведения о лицах, осуществивших подготовку проектной документации и (или) выполнивших инженерные изыскания:</w:t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Проектная документация:</w:t>
      </w:r>
    </w:p>
    <w:p>
      <w:pPr>
        <w:pStyle w:val="Normal"/>
        <w:widowControl/>
        <w:ind w:right="-1" w:hanging="0"/>
        <w:rPr>
          <w:rStyle w:val="FontStyle19"/>
          <w:bCs/>
          <w:color w:val="000000" w:themeColor="text1"/>
        </w:rPr>
      </w:pPr>
      <w:r>
        <w:rPr>
          <w:rFonts w:eastAsia="Times New Roman"/>
          <w:b/>
          <w:color w:val="000000" w:themeColor="text1"/>
        </w:rPr>
        <w:t>Генеральный проектировщик:</w:t>
      </w:r>
      <w:r>
        <w:rPr>
          <w:rFonts w:eastAsia="Times New Roman"/>
          <w:color w:val="000000" w:themeColor="text1"/>
        </w:rPr>
        <w:t xml:space="preserve"> </w:t>
      </w:r>
      <w:r>
        <w:rPr>
          <w:bCs/>
        </w:rPr>
        <w:t>ООО  ПСК «Пятый океан»</w:t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Style w:val="FontStyle19"/>
          <w:bCs/>
          <w:color w:val="000000" w:themeColor="text1"/>
        </w:rPr>
        <w:t xml:space="preserve">Свидетельство о допуске </w:t>
      </w:r>
      <w:r>
        <w:rPr/>
        <w:t>№ П-008-6323083439-16052016-167  от 17.03.2014 года</w:t>
      </w:r>
      <w:r>
        <w:rPr>
          <w:rFonts w:eastAsia="Times New Roman"/>
          <w:b/>
          <w:color w:val="000000" w:themeColor="text1"/>
        </w:rPr>
        <w:t>.</w:t>
      </w:r>
    </w:p>
    <w:p>
      <w:pPr>
        <w:pStyle w:val="Normal"/>
        <w:widowControl/>
        <w:ind w:right="-1" w:hanging="0"/>
        <w:rPr>
          <w:rStyle w:val="FontStyle19"/>
          <w:bCs/>
          <w:color w:val="000000" w:themeColor="text1"/>
        </w:rPr>
      </w:pPr>
      <w:r>
        <w:rPr>
          <w:rFonts w:eastAsia="Times New Roman"/>
          <w:b/>
          <w:color w:val="000000" w:themeColor="text1"/>
        </w:rPr>
        <w:t>Главный инженер проекта:</w:t>
      </w:r>
      <w:r>
        <w:rPr>
          <w:rFonts w:eastAsia="Times New Roman"/>
          <w:color w:val="000000" w:themeColor="text1"/>
        </w:rPr>
        <w:t xml:space="preserve"> </w:t>
      </w:r>
      <w:r>
        <w:rPr>
          <w:rStyle w:val="FontStyle19"/>
          <w:bCs/>
          <w:color w:val="000000" w:themeColor="text1"/>
        </w:rPr>
        <w:t>Васильева И.В.</w:t>
      </w:r>
    </w:p>
    <w:p>
      <w:pPr>
        <w:pStyle w:val="Normal"/>
        <w:widowControl/>
        <w:ind w:right="-1" w:hanging="0"/>
        <w:rPr>
          <w:rStyle w:val="FontStyle19"/>
          <w:bCs/>
          <w:color w:val="000000" w:themeColor="text1"/>
        </w:rPr>
      </w:pPr>
      <w:r>
        <w:rPr>
          <w:bCs/>
          <w:color w:val="000000" w:themeColor="text1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Организация, выполнявшая инженерные изыскания:</w:t>
      </w:r>
    </w:p>
    <w:p>
      <w:pPr>
        <w:pStyle w:val="Normal"/>
        <w:widowControl/>
        <w:ind w:right="-1" w:hanging="0"/>
        <w:rPr>
          <w:b/>
          <w:b/>
          <w:bCs/>
        </w:rPr>
      </w:pPr>
      <w:r>
        <w:rPr>
          <w:bCs/>
        </w:rPr>
        <w:t>ООО «Градостроительство</w:t>
      </w:r>
      <w:r>
        <w:rPr>
          <w:b/>
          <w:bCs/>
        </w:rPr>
        <w:t>»</w:t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  <w:highlight w:val="yellow"/>
        </w:rPr>
      </w:pPr>
      <w:r>
        <w:rPr>
          <w:rFonts w:eastAsia="Times New Roman"/>
          <w:color w:val="000000" w:themeColor="text1"/>
        </w:rPr>
        <w:t xml:space="preserve">Свидетельство о допуске </w:t>
      </w:r>
      <w:r>
        <w:rPr/>
        <w:t>№ 0483.01-2012-6324033007-И-003 от 23.11.2012  года.</w:t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  <w:highlight w:val="yellow"/>
        </w:rPr>
      </w:pPr>
      <w:r>
        <w:rPr>
          <w:rFonts w:eastAsia="Times New Roman"/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  <w:highlight w:val="yellow"/>
        </w:rPr>
      </w:pPr>
      <w:r>
        <w:rPr>
          <w:rFonts w:eastAsia="Times New Roman"/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1.6. Идентификационные сведения о заявителе, застройщике, заказчике:</w:t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</w:p>
    <w:p>
      <w:pPr>
        <w:pStyle w:val="Normal"/>
        <w:widowControl/>
        <w:ind w:right="-1" w:hanging="0"/>
        <w:rPr>
          <w:rStyle w:val="FontStyle19"/>
          <w:bCs/>
          <w:color w:val="000000" w:themeColor="text1"/>
        </w:rPr>
      </w:pPr>
      <w:r>
        <w:rPr>
          <w:rFonts w:eastAsia="Times New Roman"/>
          <w:b/>
          <w:color w:val="000000" w:themeColor="text1"/>
        </w:rPr>
        <w:t>Застройщик:</w:t>
      </w:r>
      <w:r>
        <w:rPr>
          <w:rFonts w:eastAsia="Times New Roman"/>
          <w:color w:val="000000" w:themeColor="text1"/>
        </w:rPr>
        <w:t xml:space="preserve"> </w:t>
      </w:r>
      <w:r>
        <w:rPr>
          <w:bCs/>
        </w:rPr>
        <w:t>Общество с ограниченной ответственностью «Строительная Компания СТРОНЖ»  (ООО «СК СТРОНЖ»)</w:t>
      </w:r>
    </w:p>
    <w:p>
      <w:pPr>
        <w:pStyle w:val="Normal"/>
        <w:widowControl/>
        <w:ind w:right="-1" w:hanging="0"/>
        <w:rPr>
          <w:color w:val="000000" w:themeColor="text1"/>
        </w:rPr>
      </w:pPr>
      <w:r>
        <w:rPr>
          <w:rFonts w:eastAsia="Times New Roman"/>
          <w:b/>
          <w:color w:val="000000" w:themeColor="text1"/>
        </w:rPr>
        <w:t>Юридический адрес:</w:t>
      </w:r>
      <w:r>
        <w:rPr>
          <w:rFonts w:eastAsia="Times New Roman"/>
          <w:color w:val="000000" w:themeColor="text1"/>
        </w:rPr>
        <w:t xml:space="preserve"> </w:t>
      </w:r>
      <w:r>
        <w:rPr>
          <w:color w:val="000000" w:themeColor="text1"/>
        </w:rPr>
        <w:t xml:space="preserve">445037, РФ, Самарская область, </w:t>
      </w:r>
    </w:p>
    <w:p>
      <w:pPr>
        <w:pStyle w:val="Normal"/>
        <w:widowControl/>
        <w:ind w:right="-1" w:hanging="0"/>
        <w:rPr>
          <w:color w:val="000000" w:themeColor="text1"/>
        </w:rPr>
      </w:pPr>
      <w:r>
        <w:rPr>
          <w:color w:val="000000" w:themeColor="text1"/>
        </w:rPr>
        <w:t>г. Тольятти, ул. Фрунзе,10А, офис 12-29.</w:t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/>
        <w:t>Генеральный директор  Кузнецов Алексей Петрович</w:t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widowControl/>
        <w:ind w:right="-1" w:hanging="0"/>
        <w:rPr>
          <w:rStyle w:val="FontStyle19"/>
          <w:bCs/>
          <w:color w:val="000000" w:themeColor="text1"/>
        </w:rPr>
      </w:pPr>
      <w:r>
        <w:rPr>
          <w:rFonts w:eastAsia="Times New Roman"/>
          <w:b/>
          <w:color w:val="000000" w:themeColor="text1"/>
        </w:rPr>
        <w:t>Заявитель:</w:t>
      </w:r>
      <w:r>
        <w:rPr>
          <w:rFonts w:eastAsia="Times New Roman"/>
          <w:color w:val="000000" w:themeColor="text1"/>
        </w:rPr>
        <w:t xml:space="preserve"> </w:t>
      </w:r>
      <w:r>
        <w:rPr>
          <w:bCs/>
        </w:rPr>
        <w:t>Общество с ограниченной ответственностью «Строительная Компания СТРОНЖ»  (ООО «СК СТРОНЖ»)</w:t>
      </w:r>
    </w:p>
    <w:p>
      <w:pPr>
        <w:pStyle w:val="Normal"/>
        <w:widowControl/>
        <w:ind w:right="-1" w:hanging="0"/>
        <w:rPr>
          <w:color w:val="000000" w:themeColor="text1"/>
        </w:rPr>
      </w:pPr>
      <w:r>
        <w:rPr>
          <w:rFonts w:eastAsia="Times New Roman"/>
          <w:b/>
          <w:color w:val="000000" w:themeColor="text1"/>
        </w:rPr>
        <w:t>Юридический адрес:</w:t>
      </w:r>
      <w:r>
        <w:rPr>
          <w:rFonts w:eastAsia="Times New Roman"/>
          <w:color w:val="000000" w:themeColor="text1"/>
        </w:rPr>
        <w:t xml:space="preserve"> </w:t>
      </w:r>
      <w:r>
        <w:rPr>
          <w:color w:val="000000" w:themeColor="text1"/>
        </w:rPr>
        <w:t xml:space="preserve">445037, РФ, Самарская область, </w:t>
      </w:r>
    </w:p>
    <w:p>
      <w:pPr>
        <w:pStyle w:val="Normal"/>
        <w:widowControl/>
        <w:ind w:right="-1" w:hanging="0"/>
        <w:rPr>
          <w:color w:val="000000" w:themeColor="text1"/>
        </w:rPr>
      </w:pPr>
      <w:r>
        <w:rPr>
          <w:color w:val="000000" w:themeColor="text1"/>
        </w:rPr>
        <w:t>г. Тольятти, ул. Фрунзе,10А, офис 12-29.</w:t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/>
        <w:t>Генеральный директор  Кузнецов Алексей Петрович</w:t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</w:p>
    <w:p>
      <w:pPr>
        <w:pStyle w:val="Normal"/>
        <w:widowControl/>
        <w:ind w:right="-1" w:hanging="0"/>
        <w:rPr>
          <w:rStyle w:val="FontStyle19"/>
          <w:bCs/>
          <w:color w:val="000000" w:themeColor="text1"/>
        </w:rPr>
      </w:pPr>
      <w:r>
        <w:rPr>
          <w:rFonts w:eastAsia="Times New Roman"/>
          <w:b/>
          <w:color w:val="000000" w:themeColor="text1"/>
        </w:rPr>
        <w:t xml:space="preserve">Технический заказчик: </w:t>
      </w:r>
      <w:r>
        <w:rPr>
          <w:bCs/>
        </w:rPr>
        <w:t>Общество с ограниченной ответственностью «Строительная Компания СТРОНЖ»  (ООО «СК СТРОНЖ»)</w:t>
      </w:r>
    </w:p>
    <w:p>
      <w:pPr>
        <w:pStyle w:val="Normal"/>
        <w:widowControl/>
        <w:ind w:right="-1" w:hanging="0"/>
        <w:rPr>
          <w:color w:val="000000" w:themeColor="text1"/>
        </w:rPr>
      </w:pPr>
      <w:r>
        <w:rPr>
          <w:rFonts w:eastAsia="Times New Roman"/>
          <w:b/>
          <w:color w:val="000000" w:themeColor="text1"/>
        </w:rPr>
        <w:t>Юридический адрес:</w:t>
      </w:r>
      <w:r>
        <w:rPr>
          <w:rFonts w:eastAsia="Times New Roman"/>
          <w:color w:val="000000" w:themeColor="text1"/>
        </w:rPr>
        <w:t xml:space="preserve"> </w:t>
      </w:r>
      <w:r>
        <w:rPr>
          <w:color w:val="000000" w:themeColor="text1"/>
        </w:rPr>
        <w:t xml:space="preserve">445037, РФ, Самарская область, </w:t>
      </w:r>
    </w:p>
    <w:p>
      <w:pPr>
        <w:pStyle w:val="Normal"/>
        <w:widowControl/>
        <w:ind w:right="-1" w:hanging="0"/>
        <w:rPr>
          <w:color w:val="000000" w:themeColor="text1"/>
        </w:rPr>
      </w:pPr>
      <w:r>
        <w:rPr>
          <w:color w:val="000000" w:themeColor="text1"/>
        </w:rPr>
        <w:t>г. Тольятти, ул. Фрунзе,10А, офис 12-29.</w:t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/>
        <w:t>Генеральный директор  Кузнецов Алексей Петрович</w:t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  <w:highlight w:val="yellow"/>
        </w:rPr>
      </w:pPr>
      <w:r>
        <w:rPr>
          <w:rFonts w:eastAsia="Times New Roman"/>
          <w:b/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  <w:highlight w:val="yellow"/>
        </w:rPr>
      </w:pPr>
      <w:r>
        <w:rPr>
          <w:rFonts w:eastAsia="Times New Roman"/>
          <w:b/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1.7. Источник финансирования:</w:t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собственные средства</w:t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1.8. Иные сведения, необходимые для идентификации объекта и предмета негосударственной экспертизы, объекта капитального строительства, исполнителей работ по подготовке документации (материалов), заявителя, застройщика, заказчика:</w:t>
      </w:r>
    </w:p>
    <w:p>
      <w:pPr>
        <w:pStyle w:val="Normal"/>
        <w:widowControl/>
        <w:ind w:right="-1" w:hanging="0"/>
        <w:rPr>
          <w:rFonts w:eastAsia="Times New Roman"/>
          <w:b/>
          <w:b/>
          <w:bCs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</w:r>
    </w:p>
    <w:p>
      <w:pPr>
        <w:pStyle w:val="Normal"/>
        <w:ind w:right="-1" w:hanging="0"/>
        <w:rPr/>
      </w:pPr>
      <w:r>
        <w:rPr/>
        <w:t>1. Право пользования земельным участком предоставлено на основании  Свидетельства о государственной регистрации права собственности от 19.11.2015 года № 63-63/009-63/009/302/2015-6800/1.</w:t>
      </w:r>
    </w:p>
    <w:p>
      <w:pPr>
        <w:pStyle w:val="Normal"/>
        <w:ind w:right="-1" w:hanging="0"/>
        <w:rPr/>
      </w:pPr>
      <w:r>
        <w:rPr/>
        <w:t>2. Градостроительный план № RU63302000-0000000000002053  от 23.11.2015 года выдан Управлением архитектуры и градостроительства мэрии городского округа Тольятти.</w:t>
      </w:r>
    </w:p>
    <w:p>
      <w:pPr>
        <w:pStyle w:val="Normal"/>
        <w:ind w:right="-1" w:hanging="0"/>
        <w:rPr/>
      </w:pPr>
      <w:r>
        <w:rPr/>
        <w:t>3. Положительное заключение №63-2-1-0002-17 от 20.02.2017.</w:t>
      </w:r>
    </w:p>
    <w:p>
      <w:pPr>
        <w:pStyle w:val="Normal"/>
        <w:ind w:right="-1" w:hanging="0"/>
        <w:rPr>
          <w:rFonts w:eastAsia="Times New Roman"/>
          <w:color w:val="000000" w:themeColor="text1"/>
          <w:highlight w:val="yellow"/>
        </w:rPr>
      </w:pPr>
      <w:r>
        <w:rPr>
          <w:rFonts w:eastAsia="Times New Roman"/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  <w:highlight w:val="yellow"/>
        </w:rPr>
      </w:pPr>
      <w:r>
        <w:rPr>
          <w:rFonts w:eastAsia="Times New Roman"/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2. Основания для выполнения инженерных изысканий, разработки проектной документации</w:t>
      </w:r>
    </w:p>
    <w:p>
      <w:pPr>
        <w:pStyle w:val="Normal"/>
        <w:widowControl/>
        <w:ind w:right="-1" w:hanging="0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  <w:highlight w:val="yellow"/>
        </w:rPr>
      </w:pPr>
      <w:r>
        <w:rPr>
          <w:rFonts w:eastAsia="Times New Roman"/>
          <w:b/>
          <w:color w:val="000000" w:themeColor="text1"/>
        </w:rPr>
        <w:t>2.1. Основания для разработки проектной документации:</w:t>
      </w:r>
    </w:p>
    <w:p>
      <w:pPr>
        <w:pStyle w:val="Normal"/>
        <w:widowControl/>
        <w:tabs>
          <w:tab w:val="left" w:pos="709" w:leader="none"/>
        </w:tabs>
        <w:ind w:right="-1" w:hanging="0"/>
        <w:rPr>
          <w:color w:val="000000" w:themeColor="text1"/>
          <w:highlight w:val="yellow"/>
        </w:rPr>
      </w:pPr>
      <w:r>
        <w:rPr>
          <w:color w:val="000000" w:themeColor="text1"/>
          <w:highlight w:val="yellow"/>
        </w:rPr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1. Задание на проектирование к договору № 11-16 ПР от 01.11.2016г.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2. Технический отчет по инженерно-геодезическим изысканиям выполнен ООО "ГЕОПРОЕКТ" (шифр №189-ИГИ) - свидетельство о допуске к работам —№ 01-И--№0249-4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3. Технический отчет об инженерно-геологических изысканиях, выполненных ООО «Градостроительство» (арх. № 2124).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 xml:space="preserve">4. Градостроительный план земельного участка № </w:t>
      </w:r>
      <w:r>
        <w:rPr>
          <w:rFonts w:eastAsia="Times New Roman"/>
          <w:color w:val="000000"/>
          <w:lang w:val="en-US"/>
        </w:rPr>
        <w:t>RU</w:t>
      </w:r>
      <w:r>
        <w:rPr>
          <w:rFonts w:eastAsia="Times New Roman"/>
          <w:color w:val="000000"/>
        </w:rPr>
        <w:t xml:space="preserve"> 63302000-0000000000002053, утвержденный распоряжением мэрии городского округа Тольятти №8616-р/5 от 23.11.2015г.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5. Технические условия на подключение к сетям инженерно-технического обеспечения № 5163 от 10.06.2016г.: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- теплоснабжение;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-водоснабжение;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-бытовая канализация;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-ливневая (дождевая) канализация, выданных ОАО "ТЕВИС".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6. Технические условия для присоединения к электрическим сетям №ТУ 29Э/15 от 15.04.2015г.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7. Технические условия на телефонизацию № 1144 от 09.11.2016г., выданные ООО «ИнфоЛада».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8. Технические условия на телефонную канализацию №0607/03/14382-16.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9. Экспертное заключение по результатам санитарно-эпидемиологической экспертизы №18 от 23 июня 2014г.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10. Экспертное заключение по результатам санитарно-эпидемиологической экспертизы №09/26У от 27 мая 2014г.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11. Экспертное заключение по результатам санитарно-эпидемиологической экспертизы № 448 от 10.02.2016г.</w:t>
      </w:r>
    </w:p>
    <w:p>
      <w:pPr>
        <w:pStyle w:val="Normal"/>
        <w:widowControl/>
        <w:ind w:right="-1" w:firstLine="709"/>
        <w:rPr>
          <w:rFonts w:eastAsia="Times New Roman"/>
        </w:rPr>
      </w:pPr>
      <w:r>
        <w:rPr>
          <w:rFonts w:eastAsia="Times New Roman"/>
          <w:color w:val="000000"/>
        </w:rPr>
        <w:t>12.Письмо Роспотребнадзора №18-04/3684 от 26.05.2016 года о возможности строительства жилого дома.</w:t>
      </w:r>
    </w:p>
    <w:p>
      <w:pPr>
        <w:pStyle w:val="Normal"/>
        <w:tabs>
          <w:tab w:val="left" w:pos="720" w:leader="none"/>
        </w:tabs>
        <w:ind w:right="-1" w:firstLine="709"/>
        <w:rPr>
          <w:color w:val="000000" w:themeColor="text1"/>
        </w:rPr>
      </w:pPr>
      <w:r>
        <w:rPr>
          <w:color w:val="000000" w:themeColor="text1"/>
        </w:rPr>
        <w:t>13. Экспертное заключение по уменьшению существующей санитарно-защитной зоны стадиона «Торпедо» №448 от 10.02.2015г ФБУЗ «Центр гигиены и эпидемиологии Самарской области».</w:t>
      </w:r>
    </w:p>
    <w:p>
      <w:pPr>
        <w:pStyle w:val="Normal"/>
        <w:tabs>
          <w:tab w:val="left" w:pos="720" w:leader="none"/>
        </w:tabs>
        <w:ind w:right="-1" w:firstLine="709"/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Normal"/>
        <w:widowControl/>
        <w:tabs>
          <w:tab w:val="left" w:pos="0" w:leader="none"/>
        </w:tabs>
        <w:ind w:right="-1" w:hanging="0"/>
        <w:rPr>
          <w:color w:val="000000" w:themeColor="text1"/>
          <w:highlight w:val="yellow"/>
        </w:rPr>
      </w:pPr>
      <w:r>
        <w:rPr>
          <w:color w:val="000000" w:themeColor="text1"/>
          <w:highlight w:val="yellow"/>
        </w:rPr>
      </w:r>
    </w:p>
    <w:p>
      <w:pPr>
        <w:pStyle w:val="Normal"/>
        <w:widowControl/>
        <w:ind w:right="-1" w:firstLine="709"/>
        <w:jc w:val="center"/>
        <w:rPr>
          <w:b/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3. Описание рассмотренной документации (материалов)</w:t>
      </w:r>
    </w:p>
    <w:p>
      <w:pPr>
        <w:pStyle w:val="Normal"/>
        <w:widowControl/>
        <w:ind w:right="-1" w:firstLine="709"/>
        <w:rPr>
          <w:b/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3.1. Описание результатов инженерных изысканий:</w:t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3.1.1. Топографические, инженерно-геологические, экологические, гидрологические, метеорологические и климатические условиях территории, на которой предполагается осуществлять строительство, реконструкцию объекта капитального строительства с указанием выявленных геологических и инженерно-геологических процессов (карст, сели, сейсмичность, склоновые процессы и другие):</w:t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  <w:highlight w:val="yellow"/>
        </w:rPr>
      </w:pPr>
      <w:r>
        <w:rPr>
          <w:rFonts w:eastAsia="Times New Roman"/>
          <w:b/>
          <w:color w:val="000000" w:themeColor="text1"/>
          <w:highlight w:val="yellow"/>
        </w:rPr>
      </w:r>
    </w:p>
    <w:p>
      <w:pPr>
        <w:pStyle w:val="Normal"/>
        <w:tabs>
          <w:tab w:val="left" w:pos="1418" w:leader="none"/>
          <w:tab w:val="left" w:pos="1843" w:leader="none"/>
        </w:tabs>
        <w:ind w:right="-1" w:firstLine="709"/>
        <w:rPr>
          <w:color w:val="000000" w:themeColor="text1"/>
        </w:rPr>
      </w:pPr>
      <w:r>
        <w:rPr>
          <w:color w:val="000000" w:themeColor="text1"/>
        </w:rPr>
        <w:t>Исследуемый участок под проектируемый жилой дом расположен по ул. Юбилейная в Автозаводском районе г. Тольятти.</w:t>
      </w:r>
    </w:p>
    <w:p>
      <w:pPr>
        <w:pStyle w:val="Normal"/>
        <w:tabs>
          <w:tab w:val="left" w:pos="1418" w:leader="none"/>
          <w:tab w:val="left" w:pos="1843" w:leader="none"/>
        </w:tabs>
        <w:ind w:right="-1" w:firstLine="709"/>
        <w:rPr>
          <w:color w:val="000000" w:themeColor="text1"/>
        </w:rPr>
      </w:pPr>
      <w:r>
        <w:rPr>
          <w:color w:val="000000" w:themeColor="text1"/>
        </w:rPr>
        <w:t>В геоморфологическом отношении данный участок приурочен к IV-ой надпойменной террасе левобережья р. Волги.</w:t>
      </w:r>
    </w:p>
    <w:p>
      <w:pPr>
        <w:pStyle w:val="Normal"/>
        <w:tabs>
          <w:tab w:val="left" w:pos="1418" w:leader="none"/>
          <w:tab w:val="left" w:pos="1843" w:leader="none"/>
        </w:tabs>
        <w:ind w:right="-1" w:firstLine="709"/>
        <w:rPr>
          <w:color w:val="000000" w:themeColor="text1"/>
        </w:rPr>
      </w:pPr>
      <w:r>
        <w:rPr>
          <w:color w:val="000000" w:themeColor="text1"/>
        </w:rPr>
        <w:t>Поверхность площадки ровная, заасфальтированная, с небольшим уклоном на запад, абсолютные отметки ее составляют ~81,15-82,50м.</w:t>
      </w:r>
    </w:p>
    <w:p>
      <w:pPr>
        <w:pStyle w:val="Normal"/>
        <w:tabs>
          <w:tab w:val="left" w:pos="1418" w:leader="none"/>
          <w:tab w:val="left" w:pos="1843" w:leader="none"/>
        </w:tabs>
        <w:ind w:right="-1" w:firstLine="709"/>
        <w:rPr>
          <w:color w:val="000000" w:themeColor="text1"/>
        </w:rPr>
      </w:pPr>
      <w:r>
        <w:rPr>
          <w:color w:val="000000" w:themeColor="text1"/>
        </w:rPr>
        <w:t>Опасных физико-геологических процессов на участке и прилегающей к нему территории не имеется.</w:t>
      </w:r>
    </w:p>
    <w:p>
      <w:pPr>
        <w:pStyle w:val="Normal"/>
        <w:tabs>
          <w:tab w:val="left" w:pos="1418" w:leader="none"/>
          <w:tab w:val="left" w:pos="1843" w:leader="none"/>
        </w:tabs>
        <w:ind w:right="-1" w:firstLine="709"/>
        <w:rPr>
          <w:color w:val="000000" w:themeColor="text1"/>
        </w:rPr>
      </w:pPr>
      <w:r>
        <w:rPr>
          <w:color w:val="000000" w:themeColor="text1"/>
        </w:rPr>
        <w:t>В соответствии с картой климатического районирования для строительства СП 131.13330.2012 г. Тольятти относится к II В району.</w:t>
      </w:r>
    </w:p>
    <w:p>
      <w:pPr>
        <w:pStyle w:val="Normal"/>
        <w:tabs>
          <w:tab w:val="left" w:pos="1418" w:leader="none"/>
          <w:tab w:val="left" w:pos="1843" w:leader="none"/>
        </w:tabs>
        <w:ind w:right="-1" w:firstLine="709"/>
        <w:rPr>
          <w:color w:val="000000" w:themeColor="text1"/>
        </w:rPr>
      </w:pPr>
      <w:r>
        <w:rPr>
          <w:color w:val="000000" w:themeColor="text1"/>
        </w:rPr>
        <w:t>Природная сейсмичность г. Тольятти от нагрузок природного и техногенного характера оценена до 6 баллов.</w:t>
      </w:r>
    </w:p>
    <w:p>
      <w:pPr>
        <w:pStyle w:val="Normal"/>
        <w:tabs>
          <w:tab w:val="left" w:pos="1418" w:leader="none"/>
          <w:tab w:val="left" w:pos="1843" w:leader="none"/>
        </w:tabs>
        <w:ind w:right="-1" w:firstLine="709"/>
        <w:rPr>
          <w:lang w:eastAsia="ar-SA"/>
        </w:rPr>
      </w:pPr>
      <w:r>
        <w:rPr>
          <w:lang w:eastAsia="ar-SA"/>
        </w:rPr>
        <w:t>Геологический разрез исследуемого участка по результатам выполненного бурения и статического зондирования на глубину 28м от поверхности земли сложен аллювиальными отложениями среднечетветичного возраста (</w:t>
      </w:r>
      <w:r>
        <w:rPr>
          <w:lang w:val="en-US"/>
        </w:rPr>
        <w:t>aQ</w:t>
      </w:r>
      <w:r>
        <w:rPr>
          <w:vertAlign w:val="subscript"/>
          <w:lang w:val="en-US"/>
        </w:rPr>
        <w:t>II</w:t>
      </w:r>
      <w:r>
        <w:rPr>
          <w:lang w:eastAsia="ar-SA"/>
        </w:rPr>
        <w:t>), прикрытыми с поверхности насыпным (</w:t>
      </w:r>
      <w:r>
        <w:rPr>
          <w:lang w:val="en-US"/>
        </w:rPr>
        <w:t>tQ</w:t>
      </w:r>
      <w:r>
        <w:rPr>
          <w:vertAlign w:val="subscript"/>
          <w:lang w:val="en-US"/>
        </w:rPr>
        <w:t>IV</w:t>
      </w:r>
      <w:r>
        <w:rPr>
          <w:lang w:eastAsia="ar-SA"/>
        </w:rPr>
        <w:t>) грунтом, и представлен следующими литологическими разностями.</w:t>
      </w:r>
    </w:p>
    <w:p>
      <w:pPr>
        <w:pStyle w:val="Normal"/>
        <w:ind w:right="-1" w:firstLine="709"/>
        <w:rPr>
          <w:lang w:eastAsia="ar-SA"/>
        </w:rPr>
      </w:pPr>
      <w:r>
        <w:rPr>
          <w:lang w:eastAsia="ar-SA"/>
        </w:rPr>
        <w:t>В инженерно-геологическом разрезе участка выделено 4 инженерно-геологических элемента (ИГЭ):</w:t>
      </w:r>
    </w:p>
    <w:p>
      <w:pPr>
        <w:pStyle w:val="Normal"/>
        <w:ind w:right="-1" w:firstLine="709"/>
        <w:rPr>
          <w:lang w:eastAsia="ar-SA"/>
        </w:rPr>
      </w:pPr>
      <w:r>
        <w:rPr>
          <w:lang w:eastAsia="ar-SA"/>
        </w:rPr>
        <w:t>ИГЭ 1 – насыпной грунт</w:t>
      </w:r>
    </w:p>
    <w:p>
      <w:pPr>
        <w:pStyle w:val="Normal"/>
        <w:ind w:right="-1" w:firstLine="709"/>
        <w:rPr>
          <w:lang w:eastAsia="ar-SA"/>
        </w:rPr>
      </w:pPr>
      <w:r>
        <w:rPr>
          <w:lang w:eastAsia="ar-SA"/>
        </w:rPr>
        <w:t xml:space="preserve">ИГЭ 2 – суглинок твердый, </w:t>
      </w:r>
      <w:r>
        <w:rPr>
          <w:b/>
          <w:i/>
          <w:lang w:eastAsia="ar-SA"/>
        </w:rPr>
        <w:t>просадочный.</w:t>
      </w:r>
    </w:p>
    <w:p>
      <w:pPr>
        <w:pStyle w:val="Normal"/>
        <w:ind w:right="-1" w:firstLine="709"/>
        <w:rPr>
          <w:b/>
          <w:b/>
          <w:lang w:eastAsia="ar-SA"/>
        </w:rPr>
      </w:pPr>
      <w:r>
        <w:rPr>
          <w:lang w:eastAsia="ar-SA"/>
        </w:rPr>
        <w:t xml:space="preserve">ИГЭ 3 – суглинок полутвердый, </w:t>
      </w:r>
      <w:r>
        <w:rPr>
          <w:b/>
          <w:i/>
          <w:lang w:eastAsia="ar-SA"/>
        </w:rPr>
        <w:t>непросадочный.</w:t>
      </w:r>
    </w:p>
    <w:p>
      <w:pPr>
        <w:pStyle w:val="Normal"/>
        <w:ind w:right="-1" w:firstLine="709"/>
        <w:rPr>
          <w:lang w:eastAsia="ar-SA"/>
        </w:rPr>
      </w:pPr>
      <w:r>
        <w:rPr>
          <w:lang w:eastAsia="ar-SA"/>
        </w:rPr>
        <w:t>ИГЭ 4 – песок пылеватый, плотный.</w:t>
      </w:r>
    </w:p>
    <w:p>
      <w:pPr>
        <w:pStyle w:val="Normal"/>
        <w:ind w:right="-1" w:firstLine="709"/>
        <w:rPr>
          <w:lang w:eastAsia="ar-SA"/>
        </w:rPr>
      </w:pPr>
      <w:r>
        <w:rPr>
          <w:lang w:eastAsia="ar-SA"/>
        </w:rPr>
        <w:t>Расчетные значения показателей физико-механических свойств грунтов по элементам сведены в таблице:</w:t>
      </w:r>
    </w:p>
    <w:p>
      <w:pPr>
        <w:pStyle w:val="Normal"/>
        <w:ind w:left="-567" w:firstLine="709"/>
        <w:jc w:val="right"/>
        <w:rPr/>
      </w:pPr>
      <w:r>
        <w:rPr/>
      </w:r>
    </w:p>
    <w:tbl>
      <w:tblPr>
        <w:tblW w:w="973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52"/>
        <w:gridCol w:w="709"/>
        <w:gridCol w:w="743"/>
        <w:gridCol w:w="817"/>
        <w:gridCol w:w="850"/>
        <w:gridCol w:w="1133"/>
        <w:gridCol w:w="993"/>
        <w:gridCol w:w="709"/>
        <w:gridCol w:w="923"/>
      </w:tblGrid>
      <w:tr>
        <w:trPr>
          <w:trHeight w:val="907" w:hRule="exact"/>
        </w:trPr>
        <w:tc>
          <w:tcPr>
            <w:tcW w:w="285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567" w:firstLine="709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  <w:p>
            <w:pPr>
              <w:pStyle w:val="Normal"/>
              <w:snapToGrid w:val="false"/>
              <w:ind w:left="-567" w:firstLine="709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  <w:p>
            <w:pPr>
              <w:pStyle w:val="Normal"/>
              <w:snapToGrid w:val="false"/>
              <w:ind w:left="-567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ИГЭ</w:t>
            </w:r>
          </w:p>
        </w:tc>
        <w:tc>
          <w:tcPr>
            <w:tcW w:w="14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567" w:firstLine="709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Плотность</w:t>
            </w:r>
          </w:p>
          <w:p>
            <w:pPr>
              <w:pStyle w:val="Normal"/>
              <w:snapToGrid w:val="false"/>
              <w:ind w:hanging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 </w:t>
            </w:r>
            <w:r>
              <w:rPr>
                <w:sz w:val="20"/>
                <w:szCs w:val="20"/>
                <w:lang w:eastAsia="ar-SA"/>
              </w:rPr>
              <w:t>грунта, г/см³</w:t>
            </w:r>
          </w:p>
        </w:tc>
        <w:tc>
          <w:tcPr>
            <w:tcW w:w="16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567" w:firstLine="709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Удельный вес,        кН/м³</w:t>
            </w:r>
          </w:p>
        </w:tc>
        <w:tc>
          <w:tcPr>
            <w:tcW w:w="11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567" w:firstLine="709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Угол </w:t>
            </w:r>
          </w:p>
          <w:p>
            <w:pPr>
              <w:pStyle w:val="Normal"/>
              <w:snapToGrid w:val="false"/>
              <w:ind w:left="-567" w:firstLine="709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внут. </w:t>
            </w:r>
          </w:p>
          <w:p>
            <w:pPr>
              <w:pStyle w:val="Normal"/>
              <w:snapToGrid w:val="false"/>
              <w:ind w:left="-567" w:firstLine="709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трения, </w:t>
            </w:r>
          </w:p>
          <w:p>
            <w:pPr>
              <w:pStyle w:val="Normal"/>
              <w:snapToGrid w:val="false"/>
              <w:ind w:hanging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      </w:t>
            </w:r>
            <w:r>
              <w:rPr>
                <w:sz w:val="20"/>
                <w:szCs w:val="20"/>
                <w:lang w:eastAsia="ar-SA"/>
              </w:rPr>
              <w:t>град.</w:t>
            </w:r>
          </w:p>
        </w:tc>
        <w:tc>
          <w:tcPr>
            <w:tcW w:w="9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right="-108" w:hanging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Удельн</w:t>
            </w:r>
          </w:p>
          <w:p>
            <w:pPr>
              <w:pStyle w:val="Normal"/>
              <w:snapToGrid w:val="false"/>
              <w:ind w:right="-108" w:hanging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сцеп., </w:t>
            </w:r>
          </w:p>
          <w:p>
            <w:pPr>
              <w:pStyle w:val="Normal"/>
              <w:snapToGrid w:val="false"/>
              <w:ind w:right="-108" w:hanging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кПа</w:t>
            </w:r>
          </w:p>
        </w:tc>
        <w:tc>
          <w:tcPr>
            <w:tcW w:w="16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567" w:firstLine="709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Модуль </w:t>
            </w:r>
          </w:p>
          <w:p>
            <w:pPr>
              <w:pStyle w:val="Normal"/>
              <w:snapToGrid w:val="false"/>
              <w:ind w:left="-567" w:firstLine="709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деформ., МПа</w:t>
            </w:r>
          </w:p>
        </w:tc>
      </w:tr>
      <w:tr>
        <w:trPr>
          <w:trHeight w:val="518" w:hRule="atLeast"/>
        </w:trPr>
        <w:tc>
          <w:tcPr>
            <w:tcW w:w="2852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567" w:firstLine="709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709" w:type="dxa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прир. влаж.</w:t>
            </w:r>
          </w:p>
        </w:tc>
        <w:tc>
          <w:tcPr>
            <w:tcW w:w="743" w:type="dxa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right="-108" w:hanging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водон.</w:t>
            </w:r>
          </w:p>
        </w:tc>
        <w:tc>
          <w:tcPr>
            <w:tcW w:w="817" w:type="dxa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прир. влаж.</w:t>
            </w: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водон.</w:t>
            </w:r>
          </w:p>
        </w:tc>
        <w:tc>
          <w:tcPr>
            <w:tcW w:w="113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567" w:firstLine="709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567" w:firstLine="709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709" w:type="dxa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прир. влаж.</w:t>
            </w:r>
          </w:p>
        </w:tc>
        <w:tc>
          <w:tcPr>
            <w:tcW w:w="92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567" w:firstLine="709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водон.</w:t>
            </w:r>
          </w:p>
        </w:tc>
      </w:tr>
      <w:tr>
        <w:trPr>
          <w:trHeight w:val="298" w:hRule="atLeast"/>
        </w:trPr>
        <w:tc>
          <w:tcPr>
            <w:tcW w:w="2852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567" w:right="-108" w:firstLine="709"/>
              <w:rPr>
                <w:lang w:eastAsia="ar-SA"/>
              </w:rPr>
            </w:pPr>
            <w:r>
              <w:rPr>
                <w:lang w:eastAsia="ar-SA"/>
              </w:rPr>
              <w:t xml:space="preserve">ИГЭ 1 – </w:t>
            </w:r>
          </w:p>
          <w:p>
            <w:pPr>
              <w:pStyle w:val="Normal"/>
              <w:snapToGrid w:val="false"/>
              <w:ind w:left="-567" w:right="-108" w:firstLine="709"/>
              <w:rPr>
                <w:lang w:eastAsia="ar-SA"/>
              </w:rPr>
            </w:pPr>
            <w:r>
              <w:rPr>
                <w:lang w:eastAsia="ar-SA"/>
              </w:rPr>
              <w:t>насыпной грунт</w:t>
            </w:r>
          </w:p>
          <w:p>
            <w:pPr>
              <w:pStyle w:val="Normal"/>
              <w:snapToGrid w:val="false"/>
              <w:ind w:left="-567" w:right="-108" w:firstLine="709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709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1,72</w:t>
            </w:r>
          </w:p>
        </w:tc>
        <w:tc>
          <w:tcPr>
            <w:tcW w:w="743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817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16,86</w:t>
            </w:r>
          </w:p>
        </w:tc>
        <w:tc>
          <w:tcPr>
            <w:tcW w:w="850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1133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993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709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923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</w:tr>
      <w:tr>
        <w:trPr>
          <w:trHeight w:val="298" w:hRule="atLeast"/>
        </w:trPr>
        <w:tc>
          <w:tcPr>
            <w:tcW w:w="2852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ind w:left="-567" w:right="-108" w:firstLine="709"/>
              <w:rPr>
                <w:lang w:eastAsia="ar-SA"/>
              </w:rPr>
            </w:pPr>
            <w:r>
              <w:rPr>
                <w:lang w:eastAsia="ar-SA"/>
              </w:rPr>
              <w:t xml:space="preserve">ИГЭ 2 – </w:t>
            </w:r>
          </w:p>
          <w:p>
            <w:pPr>
              <w:pStyle w:val="Normal"/>
              <w:ind w:left="-567" w:right="-108" w:firstLine="709"/>
              <w:rPr>
                <w:lang w:eastAsia="ar-SA"/>
              </w:rPr>
            </w:pPr>
            <w:r>
              <w:rPr>
                <w:lang w:eastAsia="ar-SA"/>
              </w:rPr>
              <w:t>суглинок твердый,</w:t>
            </w:r>
          </w:p>
          <w:p>
            <w:pPr>
              <w:pStyle w:val="Normal"/>
              <w:ind w:left="-567" w:right="-108" w:firstLine="709"/>
              <w:rPr>
                <w:lang w:eastAsia="ar-SA"/>
              </w:rPr>
            </w:pPr>
            <w:r>
              <w:rPr>
                <w:lang w:eastAsia="ar-SA"/>
              </w:rPr>
              <w:t xml:space="preserve"> </w:t>
            </w:r>
            <w:r>
              <w:rPr>
                <w:b/>
                <w:i/>
                <w:lang w:eastAsia="ar-SA"/>
              </w:rPr>
              <w:t>просадочный</w:t>
            </w:r>
          </w:p>
          <w:p>
            <w:pPr>
              <w:pStyle w:val="Normal"/>
              <w:ind w:left="-567" w:right="-108" w:firstLine="709"/>
              <w:rPr>
                <w:u w:val="single"/>
                <w:lang w:eastAsia="ar-SA"/>
              </w:rPr>
            </w:pPr>
            <w:r>
              <w:rPr>
                <w:sz w:val="20"/>
                <w:lang w:val="en-US"/>
              </w:rPr>
              <w:t>α</w:t>
            </w:r>
            <w:r>
              <w:rPr>
                <w:u w:val="single"/>
                <w:lang w:eastAsia="ar-SA"/>
              </w:rPr>
              <w:t xml:space="preserve"> =0,85</w:t>
            </w:r>
          </w:p>
          <w:p>
            <w:pPr>
              <w:pStyle w:val="Normal"/>
              <w:ind w:left="-567" w:right="-108" w:firstLine="709"/>
              <w:rPr>
                <w:lang w:eastAsia="ar-SA"/>
              </w:rPr>
            </w:pPr>
            <w:r>
              <w:rPr>
                <w:sz w:val="20"/>
                <w:lang w:val="en-US"/>
              </w:rPr>
              <w:t>α</w:t>
            </w:r>
            <w:r>
              <w:rPr>
                <w:lang w:eastAsia="ar-SA"/>
              </w:rPr>
              <w:t xml:space="preserve"> =0,95</w:t>
            </w:r>
          </w:p>
          <w:p>
            <w:pPr>
              <w:pStyle w:val="Normal"/>
              <w:snapToGrid w:val="false"/>
              <w:ind w:left="-567" w:right="-108" w:firstLine="709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709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1,79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1,78</w:t>
            </w:r>
          </w:p>
        </w:tc>
        <w:tc>
          <w:tcPr>
            <w:tcW w:w="743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1,91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1,90</w:t>
            </w:r>
          </w:p>
        </w:tc>
        <w:tc>
          <w:tcPr>
            <w:tcW w:w="817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17,54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17,44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850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18,72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18,62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1133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23</w:t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22</w:t>
            </w:r>
          </w:p>
        </w:tc>
        <w:tc>
          <w:tcPr>
            <w:tcW w:w="993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11</w:t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</w:t>
            </w:r>
          </w:p>
        </w:tc>
        <w:tc>
          <w:tcPr>
            <w:tcW w:w="709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24</w:t>
            </w:r>
          </w:p>
        </w:tc>
        <w:tc>
          <w:tcPr>
            <w:tcW w:w="923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18</w:t>
            </w:r>
          </w:p>
        </w:tc>
      </w:tr>
      <w:tr>
        <w:trPr>
          <w:trHeight w:val="298" w:hRule="atLeast"/>
        </w:trPr>
        <w:tc>
          <w:tcPr>
            <w:tcW w:w="2852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ind w:left="-567" w:right="-108" w:firstLine="709"/>
              <w:rPr>
                <w:lang w:eastAsia="ar-SA"/>
              </w:rPr>
            </w:pPr>
            <w:r>
              <w:rPr>
                <w:lang w:eastAsia="ar-SA"/>
              </w:rPr>
              <w:t xml:space="preserve">ИГЭ 3 – суглинок полутвердый, </w:t>
            </w:r>
            <w:r>
              <w:rPr>
                <w:b/>
                <w:i/>
                <w:lang w:eastAsia="ar-SA"/>
              </w:rPr>
              <w:t>непросадочный</w:t>
            </w:r>
          </w:p>
          <w:p>
            <w:pPr>
              <w:pStyle w:val="Normal"/>
              <w:ind w:left="-567" w:right="-108" w:firstLine="709"/>
              <w:rPr>
                <w:u w:val="single"/>
                <w:lang w:eastAsia="ar-SA"/>
              </w:rPr>
            </w:pPr>
            <w:r>
              <w:rPr>
                <w:sz w:val="20"/>
                <w:lang w:val="en-US"/>
              </w:rPr>
              <w:t>α</w:t>
            </w:r>
            <w:r>
              <w:rPr>
                <w:u w:val="single"/>
                <w:lang w:eastAsia="ar-SA"/>
              </w:rPr>
              <w:t xml:space="preserve"> =0,85</w:t>
            </w:r>
          </w:p>
          <w:p>
            <w:pPr>
              <w:pStyle w:val="Normal"/>
              <w:ind w:left="-567" w:right="-108" w:firstLine="709"/>
              <w:rPr>
                <w:lang w:eastAsia="ar-SA"/>
              </w:rPr>
            </w:pPr>
            <w:r>
              <w:rPr>
                <w:sz w:val="20"/>
                <w:lang w:val="en-US"/>
              </w:rPr>
              <w:t>α</w:t>
            </w:r>
            <w:r>
              <w:rPr>
                <w:lang w:eastAsia="ar-SA"/>
              </w:rPr>
              <w:t xml:space="preserve"> =0,95</w:t>
            </w:r>
          </w:p>
          <w:p>
            <w:pPr>
              <w:pStyle w:val="Normal"/>
              <w:snapToGrid w:val="false"/>
              <w:ind w:left="-567" w:right="-108" w:firstLine="709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709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1,83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1,82</w:t>
            </w:r>
          </w:p>
        </w:tc>
        <w:tc>
          <w:tcPr>
            <w:tcW w:w="743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1,93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1,92</w:t>
            </w:r>
          </w:p>
        </w:tc>
        <w:tc>
          <w:tcPr>
            <w:tcW w:w="817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17,93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17,93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850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18,91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18,82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1133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22</w:t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22</w:t>
            </w:r>
          </w:p>
        </w:tc>
        <w:tc>
          <w:tcPr>
            <w:tcW w:w="993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14</w:t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12</w:t>
            </w:r>
          </w:p>
        </w:tc>
        <w:tc>
          <w:tcPr>
            <w:tcW w:w="709" w:type="dxa"/>
            <w:tcBorders>
              <w:left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27</w:t>
            </w:r>
          </w:p>
        </w:tc>
        <w:tc>
          <w:tcPr>
            <w:tcW w:w="923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22</w:t>
            </w:r>
          </w:p>
        </w:tc>
      </w:tr>
      <w:tr>
        <w:trPr>
          <w:trHeight w:val="1079" w:hRule="atLeast"/>
        </w:trPr>
        <w:tc>
          <w:tcPr>
            <w:tcW w:w="2852" w:type="dxa"/>
            <w:tcBorders>
              <w:left w:val="single" w:sz="4" w:space="0" w:color="000001"/>
              <w:bottom w:val="single" w:sz="4" w:space="0" w:color="00000A"/>
              <w:insideH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ind w:left="-567" w:right="-108" w:firstLine="709"/>
              <w:rPr>
                <w:lang w:eastAsia="ar-SA"/>
              </w:rPr>
            </w:pPr>
            <w:r>
              <w:rPr>
                <w:lang w:eastAsia="ar-SA"/>
              </w:rPr>
              <w:t>ИГЭ 4 – песок пылеватый, плотный</w:t>
            </w:r>
          </w:p>
          <w:p>
            <w:pPr>
              <w:pStyle w:val="Normal"/>
              <w:ind w:left="-567" w:right="-108" w:firstLine="709"/>
              <w:rPr>
                <w:u w:val="single"/>
                <w:lang w:eastAsia="ar-SA"/>
              </w:rPr>
            </w:pPr>
            <w:r>
              <w:rPr>
                <w:sz w:val="20"/>
                <w:lang w:val="en-US"/>
              </w:rPr>
              <w:t>α</w:t>
            </w:r>
            <w:r>
              <w:rPr>
                <w:u w:val="single"/>
                <w:lang w:eastAsia="ar-SA"/>
              </w:rPr>
              <w:t xml:space="preserve"> =0,85</w:t>
            </w:r>
          </w:p>
          <w:p>
            <w:pPr>
              <w:pStyle w:val="Normal"/>
              <w:ind w:left="-567" w:right="-108" w:firstLine="709"/>
              <w:rPr>
                <w:lang w:eastAsia="ar-SA"/>
              </w:rPr>
            </w:pPr>
            <w:r>
              <w:rPr>
                <w:sz w:val="20"/>
                <w:lang w:val="en-US"/>
              </w:rPr>
              <w:t>α</w:t>
            </w:r>
            <w:r>
              <w:rPr>
                <w:lang w:eastAsia="ar-SA"/>
              </w:rPr>
              <w:t xml:space="preserve"> =0,95</w:t>
            </w:r>
          </w:p>
        </w:tc>
        <w:tc>
          <w:tcPr>
            <w:tcW w:w="709" w:type="dxa"/>
            <w:tcBorders>
              <w:left w:val="single" w:sz="4" w:space="0" w:color="000001"/>
              <w:bottom w:val="single" w:sz="4" w:space="0" w:color="00000A"/>
              <w:insideH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1,80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1,79</w:t>
            </w:r>
          </w:p>
        </w:tc>
        <w:tc>
          <w:tcPr>
            <w:tcW w:w="743" w:type="dxa"/>
            <w:tcBorders>
              <w:left w:val="single" w:sz="4" w:space="0" w:color="000001"/>
              <w:bottom w:val="single" w:sz="4" w:space="0" w:color="00000A"/>
              <w:insideH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817" w:type="dxa"/>
            <w:tcBorders>
              <w:left w:val="single" w:sz="4" w:space="0" w:color="000001"/>
              <w:bottom w:val="single" w:sz="4" w:space="0" w:color="00000A"/>
              <w:insideH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17,64</w:t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17,54</w:t>
            </w: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A"/>
              <w:insideH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right="-108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  <w:tc>
          <w:tcPr>
            <w:tcW w:w="1133" w:type="dxa"/>
            <w:tcBorders>
              <w:left w:val="single" w:sz="4" w:space="0" w:color="000001"/>
              <w:bottom w:val="single" w:sz="4" w:space="0" w:color="00000A"/>
              <w:insideH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30</w:t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30</w:t>
            </w:r>
          </w:p>
        </w:tc>
        <w:tc>
          <w:tcPr>
            <w:tcW w:w="993" w:type="dxa"/>
            <w:tcBorders>
              <w:left w:val="single" w:sz="4" w:space="0" w:color="000001"/>
              <w:bottom w:val="single" w:sz="4" w:space="0" w:color="00000A"/>
              <w:insideH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3</w:t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1"/>
              <w:bottom w:val="single" w:sz="4" w:space="0" w:color="00000A"/>
              <w:insideH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hanging="0"/>
              <w:rPr>
                <w:lang w:eastAsia="ar-SA"/>
              </w:rPr>
            </w:pPr>
            <w:r>
              <w:rPr>
                <w:lang w:eastAsia="ar-SA"/>
              </w:rPr>
            </w:r>
          </w:p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28</w:t>
            </w:r>
          </w:p>
        </w:tc>
        <w:tc>
          <w:tcPr>
            <w:tcW w:w="923" w:type="dxa"/>
            <w:tcBorders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-929"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</w:r>
          </w:p>
        </w:tc>
      </w:tr>
    </w:tbl>
    <w:p>
      <w:pPr>
        <w:pStyle w:val="Normal"/>
        <w:ind w:left="-567" w:firstLine="709"/>
        <w:rPr>
          <w:lang w:eastAsia="ar-SA"/>
        </w:rPr>
      </w:pPr>
      <w:r>
        <w:rPr>
          <w:lang w:eastAsia="ar-SA"/>
        </w:rPr>
      </w:r>
    </w:p>
    <w:p>
      <w:pPr>
        <w:pStyle w:val="Normal"/>
        <w:tabs>
          <w:tab w:val="left" w:pos="1418" w:leader="none"/>
          <w:tab w:val="left" w:pos="1843" w:leader="none"/>
        </w:tabs>
        <w:ind w:right="-1" w:firstLine="709"/>
        <w:rPr>
          <w:lang w:eastAsia="ar-SA"/>
        </w:rPr>
      </w:pPr>
      <w:r>
        <w:rPr>
          <w:lang w:eastAsia="ar-SA"/>
        </w:rPr>
        <w:t>По химическому составу грунты в интервале глубин 0,0-13,0м неагрессивные к бетонным и железобетонным конструкциям, коррозионная агрессивность к стали в интервале глубин 0,0-3,0м – средняя.</w:t>
      </w:r>
    </w:p>
    <w:p>
      <w:pPr>
        <w:pStyle w:val="Normal"/>
        <w:tabs>
          <w:tab w:val="left" w:pos="1418" w:leader="none"/>
          <w:tab w:val="left" w:pos="1843" w:leader="none"/>
        </w:tabs>
        <w:ind w:right="-1" w:firstLine="709"/>
        <w:rPr>
          <w:lang w:eastAsia="ar-SA"/>
        </w:rPr>
      </w:pPr>
      <w:r>
        <w:rPr>
          <w:lang w:eastAsia="ar-SA"/>
        </w:rPr>
        <w:t>Подземные воды скважинами, пробуренными до глубины 28,0м, не вскрыты (приложения 3.2, 3.3). Уровень их находится на глубине ~ 30м от поверхности земли. Сезонные колебания уровня подземных вод по данным режимных наблюдений в годовом цикле составляет до ~1,2м.</w:t>
      </w:r>
    </w:p>
    <w:p>
      <w:pPr>
        <w:pStyle w:val="Normal"/>
        <w:tabs>
          <w:tab w:val="left" w:pos="1418" w:leader="none"/>
          <w:tab w:val="left" w:pos="1843" w:leader="none"/>
        </w:tabs>
        <w:ind w:right="-1" w:firstLine="709"/>
        <w:rPr>
          <w:bCs/>
          <w:lang w:eastAsia="ar-SA"/>
        </w:rPr>
      </w:pPr>
      <w:r>
        <w:rPr>
          <w:bCs/>
          <w:lang w:eastAsia="ar-SA"/>
        </w:rPr>
        <w:t xml:space="preserve">Исследуемый участок по критерии типизации по подтопляемости – </w:t>
      </w:r>
      <w:r>
        <w:rPr>
          <w:bCs/>
          <w:lang w:val="en-US" w:eastAsia="ar-SA"/>
        </w:rPr>
        <w:t>III</w:t>
      </w:r>
      <w:r>
        <w:rPr>
          <w:bCs/>
          <w:lang w:eastAsia="ar-SA"/>
        </w:rPr>
        <w:t>-А (неподтопляемый).</w:t>
      </w:r>
    </w:p>
    <w:p>
      <w:pPr>
        <w:pStyle w:val="Normal"/>
        <w:tabs>
          <w:tab w:val="left" w:pos="1418" w:leader="none"/>
          <w:tab w:val="left" w:pos="1843" w:leader="none"/>
        </w:tabs>
        <w:ind w:right="-1" w:firstLine="709"/>
        <w:rPr>
          <w:color w:val="000000" w:themeColor="text1"/>
        </w:rPr>
      </w:pPr>
      <w:r>
        <w:rPr>
          <w:lang w:eastAsia="ar-SA"/>
        </w:rPr>
        <w:t>При утечках из водонесущих инженерных коммуникаций возможно локальное техногенное замачивание грунтов в верхней части разреза.</w:t>
      </w:r>
    </w:p>
    <w:p>
      <w:pPr>
        <w:pStyle w:val="Normal"/>
        <w:ind w:right="-1" w:firstLine="709"/>
        <w:rPr>
          <w:lang w:eastAsia="ar-SA"/>
        </w:rPr>
      </w:pPr>
      <w:r>
        <w:rPr>
          <w:lang w:eastAsia="ar-SA"/>
        </w:rPr>
        <w:t>Специфические грунты на исследуемом участке представлены просадочным суглинком.</w:t>
      </w:r>
    </w:p>
    <w:p>
      <w:pPr>
        <w:pStyle w:val="Normal"/>
        <w:ind w:right="-1" w:firstLine="709"/>
        <w:rPr>
          <w:bCs/>
        </w:rPr>
      </w:pPr>
      <w:r>
        <w:rPr>
          <w:bCs/>
          <w:lang w:eastAsia="ar-SA"/>
        </w:rPr>
        <w:t xml:space="preserve">Как следует из полученных результатов, просадочные свойства проявляются в суглинке до глубины 6,5м (ИГЭ 2) от поверхности земли. </w:t>
      </w:r>
    </w:p>
    <w:p>
      <w:pPr>
        <w:pStyle w:val="Normal"/>
        <w:ind w:right="-1" w:firstLine="709"/>
        <w:rPr>
          <w:bCs/>
          <w:lang w:eastAsia="ar-SA"/>
        </w:rPr>
      </w:pPr>
      <w:r>
        <w:rPr>
          <w:bCs/>
        </w:rPr>
        <w:t>Тип грунтовых условий по просадочности – I.</w:t>
      </w:r>
      <w:r>
        <w:rPr>
          <w:bCs/>
          <w:lang w:eastAsia="ar-SA"/>
        </w:rPr>
        <w:t xml:space="preserve"> </w:t>
      </w:r>
    </w:p>
    <w:p>
      <w:pPr>
        <w:pStyle w:val="Normal"/>
        <w:ind w:right="-1" w:firstLine="709"/>
        <w:rPr>
          <w:bCs/>
          <w:lang w:eastAsia="ar-SA"/>
        </w:rPr>
      </w:pPr>
      <w:r>
        <w:rPr>
          <w:bCs/>
          <w:lang w:eastAsia="ar-SA"/>
        </w:rPr>
        <w:t>Суглинок ИГЭ 3 – непросадочный.</w:t>
      </w:r>
    </w:p>
    <w:p>
      <w:pPr>
        <w:pStyle w:val="Normal"/>
        <w:ind w:right="-1" w:firstLine="709"/>
        <w:rPr>
          <w:lang w:eastAsia="ar-SA"/>
        </w:rPr>
      </w:pPr>
      <w:r>
        <w:rPr>
          <w:lang w:eastAsia="ar-SA"/>
        </w:rPr>
        <w:t>По степени морозоопасности, грунты в зоне промерзания: насыпной грунт ИГЭ 1 и суглинок ИГЭ 2 – слабопучинистые.</w:t>
      </w:r>
    </w:p>
    <w:p>
      <w:pPr>
        <w:pStyle w:val="Normal"/>
        <w:ind w:right="-1" w:firstLine="709"/>
        <w:rPr>
          <w:lang w:eastAsia="ar-SA"/>
        </w:rPr>
      </w:pPr>
      <w:r>
        <w:rPr>
          <w:lang w:eastAsia="ar-SA"/>
        </w:rPr>
      </w:r>
    </w:p>
    <w:p>
      <w:pPr>
        <w:pStyle w:val="Normal"/>
        <w:tabs>
          <w:tab w:val="left" w:pos="1418" w:leader="none"/>
          <w:tab w:val="left" w:pos="1843" w:leader="none"/>
        </w:tabs>
        <w:ind w:hanging="0"/>
        <w:rPr>
          <w:color w:val="000000" w:themeColor="text1"/>
          <w:highlight w:val="yellow"/>
        </w:rPr>
      </w:pPr>
      <w:r>
        <w:rPr>
          <w:color w:val="000000" w:themeColor="text1"/>
          <w:highlight w:val="yellow"/>
        </w:rPr>
      </w:r>
    </w:p>
    <w:p>
      <w:pPr>
        <w:pStyle w:val="Normal"/>
        <w:widowControl/>
        <w:ind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3.2. Описание технической части проектной документации:</w:t>
      </w:r>
    </w:p>
    <w:p>
      <w:pPr>
        <w:pStyle w:val="Normal"/>
        <w:widowControl/>
        <w:ind w:firstLine="709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tabs>
          <w:tab w:val="left" w:pos="1418" w:leader="none"/>
          <w:tab w:val="left" w:pos="1843" w:leader="none"/>
        </w:tabs>
        <w:ind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3.2.1 Перечень рассмотренных разделов проектной документации:</w:t>
      </w:r>
    </w:p>
    <w:p>
      <w:pPr>
        <w:pStyle w:val="Normal"/>
        <w:tabs>
          <w:tab w:val="left" w:pos="1418" w:leader="none"/>
          <w:tab w:val="left" w:pos="1843" w:leader="none"/>
        </w:tabs>
        <w:ind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tbl>
      <w:tblPr>
        <w:tblW w:w="9734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23"/>
        <w:gridCol w:w="5632"/>
        <w:gridCol w:w="1491"/>
        <w:gridCol w:w="1987"/>
      </w:tblGrid>
      <w:tr>
        <w:trPr/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ind w:left="-567" w:firstLine="567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5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ind w:left="-567" w:firstLine="567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276"/>
              <w:ind w:left="-567" w:firstLine="567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Наименование документации 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ind w:left="-567" w:firstLine="567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 xml:space="preserve">тома 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/>
                <w:b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/>
                <w:bCs/>
                <w:sz w:val="22"/>
                <w:szCs w:val="22"/>
                <w:lang w:bidi="ru-RU"/>
              </w:rPr>
              <w:t>Обозначение</w:t>
            </w:r>
          </w:p>
        </w:tc>
      </w:tr>
      <w:tr>
        <w:trPr/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spacing w:lineRule="auto" w:line="276"/>
              <w:ind w:left="-567" w:firstLine="567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1</w:t>
            </w:r>
          </w:p>
        </w:tc>
        <w:tc>
          <w:tcPr>
            <w:tcW w:w="5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9689" w:leader="dot"/>
              </w:tabs>
              <w:suppressAutoHyphens w:val="true"/>
              <w:spacing w:lineRule="auto" w:line="276"/>
              <w:ind w:left="-567" w:firstLine="567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Подраздел 2, 3. Система водоснабжения.</w:t>
            </w:r>
          </w:p>
          <w:p>
            <w:pPr>
              <w:pStyle w:val="Normal"/>
              <w:suppressLineNumbers/>
              <w:tabs>
                <w:tab w:val="right" w:pos="9689" w:leader="dot"/>
              </w:tabs>
              <w:suppressAutoHyphens w:val="true"/>
              <w:spacing w:lineRule="auto" w:line="276"/>
              <w:ind w:left="-567" w:firstLine="567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Система водоотведения.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5.2, 5.3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9/16-ИОС2, 3</w:t>
            </w:r>
          </w:p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</w:r>
          </w:p>
        </w:tc>
      </w:tr>
      <w:tr>
        <w:trPr/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spacing w:lineRule="auto" w:line="276"/>
              <w:ind w:left="-567" w:firstLine="567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2</w:t>
            </w:r>
          </w:p>
        </w:tc>
        <w:tc>
          <w:tcPr>
            <w:tcW w:w="5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Раздел 7. Проект организации демонтажа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7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  <w:t>9/16-ПОД</w:t>
            </w:r>
          </w:p>
          <w:p>
            <w:pPr>
              <w:pStyle w:val="Normal"/>
              <w:suppressLineNumbers/>
              <w:tabs>
                <w:tab w:val="right" w:pos="30" w:leader="dot"/>
              </w:tabs>
              <w:suppressAutoHyphens w:val="true"/>
              <w:ind w:left="-567" w:firstLine="567"/>
              <w:jc w:val="center"/>
              <w:textAlignment w:val="baseline"/>
              <w:rPr>
                <w:rFonts w:eastAsia="Lucida Sans Unicode"/>
                <w:bCs/>
                <w:sz w:val="22"/>
                <w:szCs w:val="22"/>
                <w:lang w:bidi="ru-RU"/>
              </w:rPr>
            </w:pPr>
            <w:r>
              <w:rPr>
                <w:rFonts w:eastAsia="Lucida Sans Unicode"/>
                <w:bCs/>
                <w:sz w:val="22"/>
                <w:szCs w:val="22"/>
                <w:lang w:bidi="ru-RU"/>
              </w:rPr>
            </w:r>
          </w:p>
        </w:tc>
      </w:tr>
    </w:tbl>
    <w:p>
      <w:pPr>
        <w:pStyle w:val="Normal"/>
        <w:tabs>
          <w:tab w:val="left" w:pos="1418" w:leader="none"/>
          <w:tab w:val="left" w:pos="1843" w:leader="none"/>
        </w:tabs>
        <w:ind w:right="14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tabs>
          <w:tab w:val="left" w:pos="1418" w:leader="none"/>
          <w:tab w:val="left" w:pos="1843" w:leader="none"/>
        </w:tabs>
        <w:ind w:right="141" w:hanging="0"/>
        <w:rPr>
          <w:rFonts w:eastAsia="Times New Roman"/>
          <w:b/>
          <w:b/>
          <w:color w:val="000000" w:themeColor="text1"/>
          <w:highlight w:val="yellow"/>
        </w:rPr>
      </w:pPr>
      <w:r>
        <w:rPr>
          <w:rFonts w:eastAsia="Times New Roman"/>
          <w:b/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3.2.2. Описание основных решений (мероприятий) по каждому из рассмотренных разделов:</w:t>
      </w:r>
    </w:p>
    <w:p>
      <w:pPr>
        <w:pStyle w:val="Normal"/>
        <w:widowControl/>
        <w:ind w:right="-1" w:hanging="0"/>
        <w:rPr>
          <w:b/>
          <w:b/>
          <w:i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</w:r>
    </w:p>
    <w:p>
      <w:pPr>
        <w:pStyle w:val="Normal"/>
        <w:widowControl/>
        <w:tabs>
          <w:tab w:val="left" w:pos="142" w:leader="none"/>
          <w:tab w:val="left" w:pos="709" w:leader="none"/>
          <w:tab w:val="left" w:pos="10490" w:leader="none"/>
        </w:tabs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3.2.2.1. Система водоснабжения</w:t>
      </w:r>
    </w:p>
    <w:p>
      <w:pPr>
        <w:pStyle w:val="Normal"/>
        <w:widowControl/>
        <w:tabs>
          <w:tab w:val="left" w:pos="142" w:leader="none"/>
          <w:tab w:val="left" w:pos="709" w:leader="none"/>
          <w:tab w:val="left" w:pos="10490" w:leader="none"/>
        </w:tabs>
        <w:ind w:right="-1" w:firstLine="709"/>
        <w:rPr>
          <w:rFonts w:eastAsia="Times New Roman"/>
          <w:b/>
          <w:b/>
          <w:color w:val="000000" w:themeColor="text1"/>
          <w:highlight w:val="yellow"/>
        </w:rPr>
      </w:pPr>
      <w:r>
        <w:rPr>
          <w:rFonts w:eastAsia="Times New Roman"/>
          <w:b/>
          <w:color w:val="000000" w:themeColor="text1"/>
          <w:highlight w:val="yellow"/>
        </w:rPr>
      </w:r>
    </w:p>
    <w:p>
      <w:pPr>
        <w:pStyle w:val="Normal"/>
        <w:widowControl/>
        <w:ind w:firstLine="709"/>
        <w:rPr>
          <w:rFonts w:eastAsia="Times New Roman"/>
          <w:b/>
          <w:b/>
        </w:rPr>
      </w:pPr>
      <w:r>
        <w:rPr>
          <w:rFonts w:eastAsia="Times New Roman"/>
          <w:b/>
        </w:rPr>
        <w:t>Наружные сети водоснабжения и водоотведения</w:t>
      </w:r>
    </w:p>
    <w:p>
      <w:pPr>
        <w:pStyle w:val="Normal"/>
        <w:rPr/>
      </w:pPr>
      <w:r>
        <w:rPr/>
        <w:t>Проектом предусматривается подключение многоэтажного жилого дома к существующим инженерным сетям водопровода и канализации.</w:t>
      </w:r>
    </w:p>
    <w:p>
      <w:pPr>
        <w:pStyle w:val="Normal"/>
        <w:rPr/>
      </w:pPr>
      <w:r>
        <w:rPr/>
        <w:t>Проект выполнен на основании технических условий № 5163 от 10.06.2016г, выданных ОАО «ТЕВИС» и задания на проектирование.</w:t>
      </w:r>
    </w:p>
    <w:p>
      <w:pPr>
        <w:pStyle w:val="Normal"/>
        <w:rPr/>
      </w:pPr>
      <w:r>
        <w:rPr/>
        <w:t>Строительство жилого комплекса (поз.4), включающего 3-х этажное здание с нежилыми помещениями свободной планировки, осуществляется в 2 этапа.</w:t>
      </w:r>
    </w:p>
    <w:p>
      <w:pPr>
        <w:pStyle w:val="Normal"/>
        <w:rPr/>
      </w:pPr>
      <w:r>
        <w:rPr/>
        <w:t>1 этап — пять сблокированных 10-ти этажных (включая технический чердак) панельных секций жилых домов.</w:t>
      </w:r>
    </w:p>
    <w:p>
      <w:pPr>
        <w:pStyle w:val="Normal"/>
        <w:rPr/>
      </w:pPr>
      <w:r>
        <w:rPr/>
        <w:t xml:space="preserve">2 этап — две 10-ти этажные секции, сблокированные с 17-ти этажной (включая технический чердак) угловой секцией и пристроенное к 17-ти этажной секции 3-х этажное здание с нежилыми помещениями (офисы). 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1 этап — пять сблокированных 10-ти этажных (включая технический чердак) панельных секций жилых домов.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ind w:firstLine="709"/>
        <w:rPr>
          <w:rFonts w:eastAsia="Times New Roman"/>
          <w:b/>
          <w:b/>
        </w:rPr>
      </w:pPr>
      <w:r>
        <w:rPr>
          <w:rFonts w:eastAsia="Times New Roman"/>
          <w:b/>
        </w:rPr>
        <w:t>Внутренние системы водоснабжения</w:t>
      </w:r>
    </w:p>
    <w:p>
      <w:pPr>
        <w:pStyle w:val="Normal"/>
        <w:rPr/>
      </w:pPr>
      <w:r>
        <w:rPr/>
        <w:t>Источником водоснабжения жилого дома поз.4(секции 1,2,3,4,5) являются существующие сети водопровода Ду-250(ПНД).</w:t>
      </w:r>
    </w:p>
    <w:p>
      <w:pPr>
        <w:pStyle w:val="Normal"/>
        <w:rPr/>
      </w:pPr>
      <w:r>
        <w:rPr/>
        <w:t>Проектом предусмотрены следующие системы:</w:t>
      </w:r>
    </w:p>
    <w:p>
      <w:pPr>
        <w:pStyle w:val="Normal"/>
        <w:rPr/>
      </w:pPr>
      <w:r>
        <w:rPr/>
        <w:t>В1 — водопровод хозяйственно-питьевой;</w:t>
      </w:r>
    </w:p>
    <w:p>
      <w:pPr>
        <w:pStyle w:val="Normal"/>
        <w:rPr/>
      </w:pPr>
      <w:r>
        <w:rPr/>
        <w:t>Т3; Т4 — горячее водоснабжение с циркуляцией.</w:t>
      </w:r>
    </w:p>
    <w:p>
      <w:pPr>
        <w:pStyle w:val="Normal"/>
        <w:rPr/>
      </w:pPr>
      <w:r>
        <w:rPr/>
        <w:t>Гарантируемый напор в сети составляет 2,2 кгс/см2.</w:t>
      </w:r>
    </w:p>
    <w:p>
      <w:pPr>
        <w:pStyle w:val="Normal"/>
        <w:rPr/>
      </w:pPr>
      <w:r>
        <w:rPr/>
        <w:t>Требуемый напор в сетях жилого дома:</w:t>
      </w:r>
    </w:p>
    <w:p>
      <w:pPr>
        <w:pStyle w:val="Normal"/>
        <w:rPr/>
      </w:pPr>
      <w:r>
        <w:rPr/>
        <w:t>- на хозяйственно-питьевые нужды — 4,2 кгс/см2</w:t>
      </w:r>
    </w:p>
    <w:p>
      <w:pPr>
        <w:pStyle w:val="Normal"/>
        <w:rPr/>
      </w:pPr>
      <w:r>
        <w:rPr/>
        <w:t>- горячее водоснабжение — 4,4 кгс/см2</w:t>
      </w:r>
    </w:p>
    <w:p>
      <w:pPr>
        <w:pStyle w:val="Normal"/>
        <w:rPr/>
      </w:pPr>
      <w:r>
        <w:rPr>
          <w:b/>
          <w:i/>
        </w:rPr>
        <w:t>Водопровод В1 - хозяйственно-питьевой</w:t>
      </w:r>
      <w:r>
        <w:rPr/>
        <w:t xml:space="preserve"> предусмотрен для подачи воды на хозяйственно питьевые нужды жилого дома. Запитка внутренней системы осуществляется от наружного водопровода одним вводом ПЭ-80 SDR-17 90х5,4 «питьевая» по ГОСТ 18599-2001. Система хозяйственного - питьевого водопровода принята однозонной с нижней развод</w:t>
        <w:softHyphen/>
        <w:t xml:space="preserve">кой. </w:t>
      </w:r>
    </w:p>
    <w:p>
      <w:pPr>
        <w:pStyle w:val="Normal"/>
        <w:rPr/>
      </w:pPr>
      <w:r>
        <w:rPr/>
        <w:t xml:space="preserve">Для создания необходимого напора в сети хозяйственно-питьевого водопровода, в подвале жилого дом (Секции 3), предусмотрена насосная установка “Аква Вира” ООО "Инженерная энергетическая компания" с насосами 3CR10-3 “GRUNDFOS” (2 рабочих, 1 резервный) производительностью Q=15,08 м³/ч; напором Н=22,0 м; мощностью N=3х1,1 кВт. Для снижения шума и вибрации на насосных установках предусмотрены  виброгасящие опоры. Так же, на напорных и всасывающих линиях насосной станции предусматривается установка виброизолирующих вставок.  </w:t>
      </w:r>
    </w:p>
    <w:p>
      <w:pPr>
        <w:pStyle w:val="Normal"/>
        <w:rPr/>
      </w:pPr>
      <w:r>
        <w:rPr/>
        <w:t xml:space="preserve"> </w:t>
      </w:r>
      <w:r>
        <w:rPr/>
        <w:t>Для учета расхода холодной воды на вводе водопровода установлен водомерный узел со счётчиком ВСХНд-40. Поквартирный учет холодной  воды производится счетчиками ВСХ-15. В каждой квартире предусмотрены первичные устройства пожаротушения, установленные по</w:t>
        <w:softHyphen/>
        <w:t>сле счетчика. На внутреннем водопроводе по периметру здания через каждые 60-70 м предусмотрена установка поливочных кранов в нишах наружных стен здания.</w:t>
      </w:r>
    </w:p>
    <w:p>
      <w:pPr>
        <w:pStyle w:val="Normal"/>
        <w:rPr/>
      </w:pPr>
      <w:r>
        <w:rPr/>
        <w:t>Стояки и магистральные трубопроводы системы В1 проектируются из стальных водогазопроводных оцинкованных труб диаметром 15-50мм по ГОСТ 3262-75*. Разводка по санитарным узлам, проектируются из полипропиленовых труб P-РR Дн20, по ТУ 2248-027-70239139-2008.</w:t>
      </w:r>
    </w:p>
    <w:p>
      <w:pPr>
        <w:pStyle w:val="Normal"/>
        <w:rPr/>
      </w:pPr>
      <w:r>
        <w:rPr/>
        <w:t>Расчетный расход хоз.питьевой воды составляет, (в том числе на горячее водоснабжение): 90,00м3/сут, 9,83м3/ч, 3,94л/с.</w:t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rPr/>
      </w:pPr>
      <w:r>
        <w:rPr>
          <w:b/>
          <w:i/>
        </w:rPr>
        <w:t>Горячее водоснабжение</w:t>
      </w:r>
      <w:r>
        <w:rPr/>
        <w:t xml:space="preserve"> предусматривается для подачи воды на хозяйственно-питьевые нужды жилого дома. Подача и учет горячей воды осуществляется от ИТП жилого дома, расположенном в подвале (секции 4). </w:t>
      </w:r>
    </w:p>
    <w:p>
      <w:pPr>
        <w:pStyle w:val="Normal"/>
        <w:rPr/>
      </w:pPr>
      <w:r>
        <w:rPr/>
        <w:t>Система горячего водоснабжения однозонная с нижней разводкой. Водоразборные стояки объединены кольцующими перемычками по чердаку с присоединениями их к сборным циркуляционным трубопроводам.</w:t>
      </w:r>
    </w:p>
    <w:p>
      <w:pPr>
        <w:pStyle w:val="Normal"/>
        <w:rPr/>
      </w:pPr>
      <w:r>
        <w:rPr/>
        <w:t>Для регулировки системы горячего водоснабжения на подводках к стоякам в подвале предусмотрена установка балансировочных вентелей типа 15Б1п.</w:t>
      </w:r>
    </w:p>
    <w:p>
      <w:pPr>
        <w:pStyle w:val="Normal"/>
        <w:rPr/>
      </w:pPr>
      <w:r>
        <w:rPr/>
        <w:t>Для удаления воздуха из системы горячего водоснабжения предусмотрен кран Маевского, устанавливаемый на стояках Т4, на чердаке.</w:t>
      </w:r>
    </w:p>
    <w:p>
      <w:pPr>
        <w:pStyle w:val="Normal"/>
        <w:rPr/>
      </w:pPr>
      <w:r>
        <w:rPr/>
        <w:t>У основания  стояков Т3,Т4 предусмотрены шаровые краны Ду 15 мм  для спуска воды.</w:t>
      </w:r>
    </w:p>
    <w:p>
      <w:pPr>
        <w:pStyle w:val="Normal"/>
        <w:rPr/>
      </w:pPr>
      <w:r>
        <w:rPr/>
        <w:t>В каждой квартире предусмотрена установка полотенцесушителей от системы Т3, отключение которых, предусмотрено с помощью шаровых кранов Ду20мм, устанавливаемых на верхних и нижних подводках к прибору.</w:t>
      </w:r>
    </w:p>
    <w:p>
      <w:pPr>
        <w:pStyle w:val="Normal"/>
        <w:rPr/>
      </w:pPr>
      <w:r>
        <w:rPr/>
        <w:t>Поквартирный учет горячей воды производится счетчиками ВСГ-15</w:t>
      </w:r>
    </w:p>
    <w:p>
      <w:pPr>
        <w:pStyle w:val="Normal"/>
        <w:rPr/>
      </w:pPr>
      <w:r>
        <w:rPr/>
        <w:t>Стояки и магистральные трубопроводы систем  Т3, Т4 проектируются из стальных водогазопроводных оцинкованных труб диаметром 15-50 мм по ГОСТ 3262-75*. Разводка по санитарным узлам, проектируются из полипропиленовых труб P-РR Дн20, по ТУ 2248-027-70239139-2008.</w:t>
      </w:r>
    </w:p>
    <w:p>
      <w:pPr>
        <w:pStyle w:val="Normal"/>
        <w:rPr/>
      </w:pPr>
      <w:r>
        <w:rPr/>
        <w:t>Расчетный расход горячей воды составляет: 30,60м3/сут, 5,63м3/ч, 2,30л/с</w:t>
      </w:r>
    </w:p>
    <w:p>
      <w:pPr>
        <w:pStyle w:val="Normal"/>
        <w:widowControl/>
        <w:ind w:hanging="0"/>
        <w:rPr>
          <w:rFonts w:eastAsia="Times New Roman"/>
          <w:b/>
          <w:b/>
          <w:color w:val="000000"/>
        </w:rPr>
      </w:pPr>
      <w:r>
        <w:rPr>
          <w:rFonts w:eastAsia="Times New Roman"/>
          <w:b/>
          <w:color w:val="000000"/>
        </w:rPr>
      </w:r>
    </w:p>
    <w:p>
      <w:pPr>
        <w:pStyle w:val="Normal"/>
        <w:widowControl/>
        <w:ind w:hanging="0"/>
        <w:rPr>
          <w:rFonts w:eastAsia="Times New Roman"/>
          <w:b/>
          <w:b/>
          <w:color w:val="000000"/>
        </w:rPr>
      </w:pPr>
      <w:r>
        <w:rPr>
          <w:rFonts w:eastAsia="Times New Roman"/>
          <w:b/>
          <w:color w:val="000000"/>
        </w:rPr>
        <w:t xml:space="preserve"> </w:t>
      </w:r>
      <w:r>
        <w:rPr>
          <w:rFonts w:eastAsia="Times New Roman"/>
          <w:b/>
          <w:color w:val="000000"/>
        </w:rPr>
        <w:t>Система водоотведения</w:t>
      </w:r>
    </w:p>
    <w:p>
      <w:pPr>
        <w:pStyle w:val="Normal"/>
        <w:widowControl/>
        <w:ind w:hanging="0"/>
        <w:rPr>
          <w:rFonts w:eastAsia="Times New Roman"/>
          <w:b/>
          <w:b/>
          <w:color w:val="000000"/>
        </w:rPr>
      </w:pPr>
      <w:r>
        <w:rPr>
          <w:rFonts w:eastAsia="Times New Roman"/>
          <w:b/>
          <w:color w:val="000000"/>
        </w:rPr>
      </w:r>
    </w:p>
    <w:p>
      <w:pPr>
        <w:pStyle w:val="Normal"/>
        <w:widowControl/>
        <w:ind w:firstLine="709"/>
        <w:rPr>
          <w:rFonts w:eastAsia="Times New Roman"/>
          <w:b/>
          <w:b/>
        </w:rPr>
      </w:pPr>
      <w:r>
        <w:rPr>
          <w:rFonts w:eastAsia="Times New Roman"/>
          <w:b/>
        </w:rPr>
        <w:t>Внутренние системы водоотведения</w:t>
      </w:r>
    </w:p>
    <w:p>
      <w:pPr>
        <w:pStyle w:val="Normal"/>
        <w:rPr/>
      </w:pPr>
      <w:r>
        <w:rPr/>
        <w:t>Проектом предусмотрены следующие системы</w:t>
      </w:r>
      <w:r>
        <w:rPr>
          <w:vertAlign w:val="superscript"/>
        </w:rPr>
        <w:t>:</w:t>
      </w:r>
    </w:p>
    <w:p>
      <w:pPr>
        <w:pStyle w:val="Normal"/>
        <w:rPr/>
      </w:pPr>
      <w:r>
        <w:rPr/>
        <w:t>К1- канализация бытовая</w:t>
      </w:r>
    </w:p>
    <w:p>
      <w:pPr>
        <w:pStyle w:val="Normal"/>
        <w:rPr/>
      </w:pPr>
      <w:r>
        <w:rPr/>
        <w:t>К2 - канализация дождевая,</w:t>
      </w:r>
    </w:p>
    <w:p>
      <w:pPr>
        <w:pStyle w:val="Normal"/>
        <w:rPr/>
      </w:pPr>
      <w:r>
        <w:rPr/>
        <w:t>К3Н – канализация производственная напорная от насосной станции и ИТП.</w:t>
      </w:r>
    </w:p>
    <w:p>
      <w:pPr>
        <w:pStyle w:val="Normal"/>
        <w:rPr/>
      </w:pPr>
      <w:r>
        <w:rPr>
          <w:b/>
          <w:i/>
        </w:rPr>
        <w:t>Канализация бытовая К1</w:t>
      </w:r>
      <w:r>
        <w:rPr/>
        <w:t xml:space="preserve"> предусмотрена для отвода бытовых стоков от санитарных приборов секций 1,2,3,4,5 многоэтажного жилого дома в наружные сети бытовой канализации пятью выпусками Ф110мм. </w:t>
      </w:r>
    </w:p>
    <w:p>
      <w:pPr>
        <w:pStyle w:val="Normal"/>
        <w:rPr/>
      </w:pPr>
      <w:r>
        <w:rPr/>
        <w:t xml:space="preserve">Внутренние сети канализации жилого дома, в основном, прокладываются открыто. На сети бытовой канализации устанавливаются прочистки, которые плотно закрываются заглушками. </w:t>
      </w:r>
    </w:p>
    <w:p>
      <w:pPr>
        <w:pStyle w:val="Normal"/>
        <w:rPr/>
      </w:pPr>
      <w:r>
        <w:rPr/>
        <w:t>Системы К1 жилого дома предусматриваются из полиэтиленовых канализационных труб Ду 50-110 мм по ГОСТ 22689-89.На стояках бытовой канализации К1 устанавливаются противопожарные муфты со вспучивающим огнезащитным составом, препятствующие распространению пламени по этажам.</w:t>
      </w:r>
    </w:p>
    <w:p>
      <w:pPr>
        <w:pStyle w:val="Normal"/>
        <w:rPr/>
      </w:pPr>
      <w:r>
        <w:rPr/>
        <w:t>Расчетный расход бытовых стоков составляет – 90,00 м3/сут; 9,83 м3/ч; 5,54л/с.</w:t>
      </w:r>
    </w:p>
    <w:p>
      <w:pPr>
        <w:pStyle w:val="Normal"/>
        <w:rPr/>
      </w:pPr>
      <w:r>
        <w:rPr>
          <w:b/>
          <w:i/>
        </w:rPr>
        <w:t>Система производственной напорной канализации К3Н</w:t>
      </w:r>
      <w:r>
        <w:rPr/>
        <w:t xml:space="preserve"> предусматривается для сбора аварийных проливов и опорожнения систем водоснабжения  в помещении насосной станции. Проектом предусмотрена установка насосов марки EBARA серии BEST2M фирмы «АДЛ», производительностью: Q=7,75м3/ч и Q=4,23м3/ч ;  напором Н=5,0м, мощностью N=0,55 кВт, в приямке 600х600х600(h), работающий в автоматическом режиме в зависимости от уровня воды в приямке. Отвод стоков осуществляется в систему бытовой канализации. Трубопроводы производственной напорной канализации К3Н предусматриваются из стальных электросварных труб Д-57х3,5 мм ГОСТ 10704-91*.</w:t>
      </w:r>
    </w:p>
    <w:p>
      <w:pPr>
        <w:pStyle w:val="Normal"/>
        <w:rPr/>
      </w:pPr>
      <w:r>
        <w:rPr/>
        <w:t xml:space="preserve"> </w:t>
      </w:r>
      <w:r>
        <w:rPr>
          <w:b/>
          <w:i/>
        </w:rPr>
        <w:t>Канализация дождевая К2</w:t>
      </w:r>
      <w:r>
        <w:rPr/>
        <w:t xml:space="preserve"> предусмотрена для отвода дождевых и талых вод с кровли здания. Отвод стоков осуществляется через водосточные воронки Ду100мм марки Вр-9 по внутренним водостокам пятью выпусками Ø108х4,0 в наружную сеть дождевой канализации.</w:t>
      </w:r>
    </w:p>
    <w:p>
      <w:pPr>
        <w:pStyle w:val="Normal"/>
        <w:rPr/>
      </w:pPr>
      <w:r>
        <w:rPr/>
        <w:t>Сеть дождевой канализации выполняется из стальных электросварных труб Ду108х4,0мм по ГОСТ 10704-91*.</w:t>
      </w:r>
    </w:p>
    <w:p>
      <w:pPr>
        <w:pStyle w:val="Normal"/>
        <w:rPr/>
      </w:pPr>
      <w:r>
        <w:rPr/>
        <w:t>Расчетный расход дождевых стоков составляет — 12,56 л/с;</w:t>
      </w:r>
    </w:p>
    <w:p>
      <w:pPr>
        <w:pStyle w:val="Normal"/>
        <w:widowControl/>
        <w:spacing w:beforeAutospacing="1" w:after="119"/>
        <w:ind w:left="284" w:right="-1" w:firstLine="567"/>
        <w:rPr>
          <w:b/>
          <w:b/>
        </w:rPr>
      </w:pPr>
      <w:r>
        <w:rPr>
          <w:b/>
        </w:rPr>
        <w:t>2 этап — две 10-ти этажные секции, сблокированные с 17-ти этажной (включая технический чердак) угловой секцией и пристроенное к 17-ти этажной секции 3-х этажное здание с нежилыми помещениями (офисы).</w:t>
      </w:r>
    </w:p>
    <w:p>
      <w:pPr>
        <w:pStyle w:val="Normal"/>
        <w:rPr/>
      </w:pPr>
      <w:r>
        <w:rPr/>
      </w:r>
    </w:p>
    <w:p>
      <w:pPr>
        <w:pStyle w:val="Normal"/>
        <w:widowControl/>
        <w:ind w:firstLine="709"/>
        <w:rPr>
          <w:rFonts w:eastAsia="Times New Roman"/>
          <w:b/>
          <w:b/>
        </w:rPr>
      </w:pPr>
      <w:r>
        <w:rPr>
          <w:rFonts w:eastAsia="Times New Roman"/>
          <w:b/>
        </w:rPr>
        <w:t>Внутренние системы водоснабжения</w:t>
      </w:r>
    </w:p>
    <w:p>
      <w:pPr>
        <w:pStyle w:val="Normal"/>
        <w:rPr/>
      </w:pPr>
      <w:r>
        <w:rPr/>
        <w:t>Источником водоснабжения жилого дома поз.4(секции 6, 7, 8) являются существующие сети водопровода Ду-250(ПНД).</w:t>
      </w:r>
    </w:p>
    <w:p>
      <w:pPr>
        <w:pStyle w:val="Normal"/>
        <w:rPr/>
      </w:pPr>
      <w:r>
        <w:rPr/>
        <w:t>Проектом предусмотрены следующие системы:</w:t>
      </w:r>
    </w:p>
    <w:p>
      <w:pPr>
        <w:pStyle w:val="Normal"/>
        <w:rPr/>
      </w:pPr>
      <w:r>
        <w:rPr/>
        <w:t>В1 — водопровод хозяйственно-питьевой (жилой дом);</w:t>
      </w:r>
    </w:p>
    <w:p>
      <w:pPr>
        <w:pStyle w:val="Normal"/>
        <w:rPr/>
      </w:pPr>
      <w:r>
        <w:rPr/>
        <w:t xml:space="preserve">В1.1 — водопровод хозяйственно-питьевой (нежилые помещения </w:t>
      </w:r>
    </w:p>
    <w:p>
      <w:pPr>
        <w:pStyle w:val="Normal"/>
        <w:rPr/>
      </w:pPr>
      <w:r>
        <w:rPr/>
        <w:t>свободной планировки);</w:t>
      </w:r>
    </w:p>
    <w:p>
      <w:pPr>
        <w:pStyle w:val="Normal"/>
        <w:rPr/>
      </w:pPr>
      <w:r>
        <w:rPr/>
        <w:t>В2 — водопровод противопожарный (жилой дом);</w:t>
      </w:r>
    </w:p>
    <w:p>
      <w:pPr>
        <w:pStyle w:val="Normal"/>
        <w:rPr/>
      </w:pPr>
      <w:r>
        <w:rPr/>
        <w:t>В2.1 — водопровод противопожарный (нежилые помещения (офисы));</w:t>
      </w:r>
    </w:p>
    <w:p>
      <w:pPr>
        <w:pStyle w:val="Normal"/>
        <w:rPr/>
      </w:pPr>
      <w:r>
        <w:rPr/>
        <w:t>Т3;Т4 — горячее водоснабжение с циркуляцией (жилой дом);</w:t>
      </w:r>
    </w:p>
    <w:p>
      <w:pPr>
        <w:pStyle w:val="Normal"/>
        <w:rPr/>
      </w:pPr>
      <w:r>
        <w:rPr/>
        <w:t>Т3.1 — горячее водоснабжение с циркуляцией (нежилые помещения</w:t>
      </w:r>
    </w:p>
    <w:p>
      <w:pPr>
        <w:pStyle w:val="Normal"/>
        <w:rPr/>
      </w:pPr>
      <w:r>
        <w:rPr/>
        <w:t>(офисы)).</w:t>
      </w:r>
    </w:p>
    <w:p>
      <w:pPr>
        <w:pStyle w:val="Normal"/>
        <w:rPr/>
      </w:pPr>
      <w:r>
        <w:rPr/>
        <w:t xml:space="preserve">Гарантируемый напор в сети составляет 2,2 кгс/см2. </w:t>
      </w:r>
    </w:p>
    <w:p>
      <w:pPr>
        <w:pStyle w:val="Normal"/>
        <w:rPr/>
      </w:pPr>
      <w:r>
        <w:rPr/>
        <w:t>Требуемый напор в сетях жилого дома поз.4(секции 6,7,8):</w:t>
      </w:r>
    </w:p>
    <w:p>
      <w:pPr>
        <w:pStyle w:val="Normal"/>
        <w:tabs>
          <w:tab w:val="left" w:pos="720" w:leader="none"/>
        </w:tabs>
        <w:rPr/>
      </w:pPr>
      <w:r>
        <w:rPr/>
        <w:t>- на хозяйственно-питьевые нужды – 6,50 кгс/см2</w:t>
      </w:r>
    </w:p>
    <w:p>
      <w:pPr>
        <w:pStyle w:val="Normal"/>
        <w:tabs>
          <w:tab w:val="left" w:pos="720" w:leader="none"/>
        </w:tabs>
        <w:rPr/>
      </w:pPr>
      <w:r>
        <w:rPr/>
        <w:t>- на внутреннее пожаротушение — 6,50 кгс/см2</w:t>
      </w:r>
    </w:p>
    <w:p>
      <w:pPr>
        <w:pStyle w:val="Normal"/>
        <w:tabs>
          <w:tab w:val="left" w:pos="720" w:leader="none"/>
        </w:tabs>
        <w:rPr/>
      </w:pPr>
      <w:r>
        <w:rPr/>
        <w:t>- горячее водоснабжение – 6,70 кгс/см2</w:t>
      </w:r>
    </w:p>
    <w:p>
      <w:pPr>
        <w:pStyle w:val="Normal"/>
        <w:rPr/>
      </w:pPr>
      <w:r>
        <w:rPr/>
        <w:t>Требуемый напор в сетях 3-х этажного здания:</w:t>
      </w:r>
    </w:p>
    <w:p>
      <w:pPr>
        <w:pStyle w:val="Normal"/>
        <w:tabs>
          <w:tab w:val="left" w:pos="720" w:leader="none"/>
        </w:tabs>
        <w:rPr/>
      </w:pPr>
      <w:r>
        <w:rPr/>
        <w:t>- на хозяйственно-питьевые нужды – 2,80 кгс/см2</w:t>
      </w:r>
    </w:p>
    <w:p>
      <w:pPr>
        <w:pStyle w:val="Normal"/>
        <w:tabs>
          <w:tab w:val="left" w:pos="720" w:leader="none"/>
        </w:tabs>
        <w:rPr/>
      </w:pPr>
      <w:r>
        <w:rPr/>
        <w:t>- на внутреннее пожаротушение — 2,90 кгс/см2</w:t>
      </w:r>
    </w:p>
    <w:p>
      <w:pPr>
        <w:pStyle w:val="Normal"/>
        <w:widowControl/>
        <w:spacing w:beforeAutospacing="1" w:after="0"/>
        <w:ind w:firstLine="708"/>
        <w:rPr/>
      </w:pPr>
      <w:r>
        <w:rPr>
          <w:b/>
          <w:i/>
        </w:rPr>
        <w:t>Водопровод  хозяйственно-питьевой</w:t>
      </w:r>
      <w:r>
        <w:rPr/>
        <w:t xml:space="preserve"> предусмотрен для подачи воды на хозяйственно питьевые нужды жилого дома. Существующая городская сеть, к которой выполняется подключение проектируемого жилого дома поз.4, обеспечивает гарантируемый напор в сети 2,2 кгс/см2. </w:t>
      </w:r>
    </w:p>
    <w:p>
      <w:pPr>
        <w:pStyle w:val="Normal"/>
        <w:widowControl/>
        <w:spacing w:beforeAutospacing="1" w:after="0"/>
        <w:ind w:firstLine="708"/>
        <w:rPr/>
      </w:pPr>
      <w:r>
        <w:rPr>
          <w:b/>
          <w:i/>
          <w:color w:val="000000"/>
        </w:rPr>
        <w:t>Водопровод В1</w:t>
      </w:r>
      <w:r>
        <w:rPr>
          <w:color w:val="000000"/>
        </w:rPr>
        <w:t xml:space="preserve"> хозяйственно-питьевой предусмотрен для подачи воды на хозяйственно-питьевые нужды жилого дома поз.4(секции 6,7,8) и офисов, расположенных на 1-ом этаже секции 8. Запитка внутренней системы осуществляется от наружного водопровода двумя вводами ПЭ-80 SDR-17 110х6,60 «питьевая» по ГОСТ 18599-2001. </w:t>
      </w:r>
      <w:r>
        <w:rPr/>
        <w:t>На вводах холодного и горячего водоснабжения в квартиры выполнены кран-фильтры КВФ-15. Система В1 жилого дома предусмотрена с нижней разводкой.</w:t>
      </w:r>
    </w:p>
    <w:p>
      <w:pPr>
        <w:pStyle w:val="Normal"/>
        <w:rPr/>
      </w:pPr>
      <w:r>
        <w:rPr/>
        <w:t xml:space="preserve">Для создания необходимого напора в сети хозяйственно-питьевого водопровода жилого дома поз.4(секции 6,7,8) предусмотрена повысительная насосная установка “Аква Вира” ООО "Инженерная энергетическая компания" с насосами 3CR10-5 исп.1 фирмы “GRUNDFOS” (2раб.; 1рез.), расположенная в подвале (Секции 8) в осях 2с-4с; Пс-Рс. Производительностью Q=14,00 м3/ч; напором Н=45,0м; мощностью N=3х2,2кВт. </w:t>
      </w:r>
    </w:p>
    <w:p>
      <w:pPr>
        <w:pStyle w:val="Normal"/>
        <w:rPr/>
      </w:pPr>
      <w:r>
        <w:rPr/>
        <w:t xml:space="preserve">Для снижения шума и вибрации на насосных установках предусмотрены  виброгасящие опоры. Так же, на напорных и всасывающих линиях насосной станции предусматривается установка виброизолирующих вставок.  </w:t>
      </w:r>
    </w:p>
    <w:p>
      <w:pPr>
        <w:pStyle w:val="Normal"/>
        <w:rPr/>
      </w:pPr>
      <w:r>
        <w:rPr/>
        <w:t xml:space="preserve">Для учета расхода воды жилого дома поз.4(секции 6,7,8) на вводе в осях 2с-4с; Пс-Рс установлен водомерный узел со счетчиком ВСХНд-40 Ø40мм. Для очистки воды перед счетчиком устанавливается магнитный фильтр ФМФ-80. Поквартирный учет холодной воды производиться счетчиками ВСХ-15. </w:t>
      </w:r>
    </w:p>
    <w:p>
      <w:pPr>
        <w:pStyle w:val="Normal"/>
        <w:rPr/>
      </w:pPr>
      <w:r>
        <w:rPr/>
        <w:t>Стояки и магистральные трубопроводы системы В1 проектируются из стальных водогазопроводных оцинкованных труб диаметром 15-80мм по ГОСТ 3262-75*. Разводка по санитарным узлам, проектируются из полипропиленовых труб P-РR Дн20, по ТУ 2248-027-70239139-2008.</w:t>
      </w:r>
    </w:p>
    <w:p>
      <w:pPr>
        <w:pStyle w:val="Normal"/>
        <w:rPr/>
      </w:pPr>
      <w:r>
        <w:rPr/>
        <w:t>Расчетный расход хоз.питьевой воды жилого дома (секции 6,7,8) составляет, (в том числе на горячее водоснабжение): 70,80м3/сут, 8,19м3/ч, 3,37л/с.</w:t>
      </w:r>
    </w:p>
    <w:p>
      <w:pPr>
        <w:pStyle w:val="Normal"/>
        <w:widowControl/>
        <w:spacing w:beforeAutospacing="1" w:after="0"/>
        <w:ind w:firstLine="708"/>
        <w:rPr/>
      </w:pPr>
      <w:r>
        <w:rPr>
          <w:b/>
          <w:i/>
        </w:rPr>
        <w:t>Водопровод В1.1</w:t>
      </w:r>
      <w:r>
        <w:rPr/>
        <w:t xml:space="preserve"> хозяйственно-питьевой, предусмотрен для подачи воды на хозяйственно-питьевые нужды 3-х этажного здания с нежилыми помещениями (офисы). Запитка внутренней системы осуществляется от наружного водопровода одним вводом ПЭ-80 SDR-17 63х3,80 «питьевая» по ГОСТ 18599-2001. Система В1.1</w:t>
      </w:r>
      <w:r>
        <w:rPr>
          <w:color w:val="000000"/>
        </w:rPr>
        <w:t xml:space="preserve"> предусмотрена с верхней разводкой.</w:t>
      </w:r>
      <w:r>
        <w:rPr/>
        <w:t xml:space="preserve"> Для создания необходимого напора в сети хозяйственно-питьевого водопровода нежилых помещений (офисы) предусмотрена повысительная насосная установка “Аква Вира” ООО "Инженерная энергетическая компания" с насосами 2CR1-2 исп.1 фирмы “GRUNDFOS” (1раб.; 1рез.), расположенная в подвале в осях 5с-6с; Ас-Бс. Производительностью Q=1,55 м3/ч; напором Н=6,0м; мощностью N=2х0,37кВт. </w:t>
      </w:r>
    </w:p>
    <w:p>
      <w:pPr>
        <w:pStyle w:val="Normal"/>
        <w:rPr/>
      </w:pPr>
      <w:r>
        <w:rPr/>
        <w:t>Для учета расхода воды 3-х этажного здания с нежилыми помещениями на вводе в осях 5с-6с; А-Б, установлен водомерный узел оборудованный магнитным фильтром ФМФ-50, счетчиком ВСХд-15 Ø15мм и электрозадвижкой на обводной линии, открытие которой предусматривается от кнопок, расположенных в пожарных шкафах.</w:t>
      </w:r>
    </w:p>
    <w:p>
      <w:pPr>
        <w:pStyle w:val="Normal"/>
        <w:rPr/>
      </w:pPr>
      <w:r>
        <w:rPr/>
        <w:t>Расчетный расход хоз.питьевой воды нежилых помещений (офисы) составляет, (в том числе на горячее водоснабжение): 0,75м3/сут, 0,66м3/ч, 0,42л/с.</w:t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rPr/>
      </w:pPr>
      <w:r>
        <w:rPr>
          <w:b/>
          <w:i/>
        </w:rPr>
        <w:t>Водопровод В2</w:t>
      </w:r>
      <w:r>
        <w:rPr/>
        <w:t xml:space="preserve"> - противопожарный предусмотрен для подачи воды на противопожарные нужды жилого дома поз.4(секции 8) и офисов, расположенных на 1-ом этаже секции 8. Пожаротушение осуществляется от внутренних пожарных кранов, расположенных на каждом этаже жилого дома, которые устанавливаются в пожарных шкафах ШПК-Пульс-320Н и ШПК-Пульс-320-21Н.</w:t>
      </w:r>
    </w:p>
    <w:p>
      <w:pPr>
        <w:pStyle w:val="Normal"/>
        <w:rPr/>
      </w:pPr>
      <w:r>
        <w:rPr/>
        <w:t>Противопожарная сеть в жилом доме поз.4 (секции 8) принята кольцевой и присоединяется двумя вводами к наружной сети.</w:t>
      </w:r>
    </w:p>
    <w:p>
      <w:pPr>
        <w:pStyle w:val="Normal"/>
        <w:rPr/>
      </w:pPr>
      <w:r>
        <w:rPr/>
        <w:t xml:space="preserve">Расчетный расход воды на внутреннее пожаротушение жилого дома поз.4 (секции 8) составляет 3 струи по 2,6л/с. </w:t>
      </w:r>
    </w:p>
    <w:p>
      <w:pPr>
        <w:pStyle w:val="Normal"/>
        <w:rPr/>
      </w:pPr>
      <w:r>
        <w:rPr/>
        <w:t>Согласно СП 54.1333.2011 «Здания жилые многоквартирные» п.7.4.5 в каждой квартире предусмотрены первичные устройства внутриквартирного пожаротушения, устанавливаемые после счетчиков.</w:t>
      </w:r>
    </w:p>
    <w:p>
      <w:pPr>
        <w:pStyle w:val="Normal"/>
        <w:rPr/>
      </w:pPr>
      <w:r>
        <w:rPr/>
        <w:t>Для обеспечения потребного расхода и напора в сети при пожаротушении жилого дома поз.4 (секции8) в подвале жилого дома (секции 8) в осях 1с-2с; Пс-Рс предусматривается повысительная установка пожаротушения ГРАНФЛОУ УНВп с насосами 2DPV 25/3 фирмы «АДЛ» производительностью Q=28,0м³/ч; напором Н=43,0м; мощностью N=2х5,50кВт (1 рабочий, 1 резервный).</w:t>
      </w:r>
    </w:p>
    <w:p>
      <w:pPr>
        <w:pStyle w:val="Normal"/>
        <w:rPr/>
      </w:pPr>
      <w:r>
        <w:rPr/>
        <w:t xml:space="preserve">Для снижения давления у ПК с 1 по 7 этажи между пожарным клапаном и соединительной головкой предусматривается установка диафрагмы. </w:t>
      </w:r>
    </w:p>
    <w:p>
      <w:pPr>
        <w:pStyle w:val="Normal"/>
        <w:rPr/>
      </w:pPr>
      <w:r>
        <w:rPr/>
        <w:t xml:space="preserve"> </w:t>
      </w:r>
      <w:r>
        <w:rPr/>
        <w:t xml:space="preserve">На сети противопожарного водопровода (секции 8)  устанавливаются 2 выведенных наружу патрубка с соединительными головками диаметром 80 мм для подключения передвижной техники с установкой в здании обратного клапана и нормальной открытой опломбированной задвижки.     </w:t>
      </w:r>
    </w:p>
    <w:p>
      <w:pPr>
        <w:pStyle w:val="Normal"/>
        <w:rPr/>
      </w:pPr>
      <w:r>
        <w:rPr/>
        <w:t>Стояки и магистральные трубопроводы системы В2 проектируются из стальных электросварных труб Ду57х3,0-89х3,0 по ГОСТ 10704-91*.</w:t>
      </w:r>
    </w:p>
    <w:p>
      <w:pPr>
        <w:pStyle w:val="Normal"/>
        <w:rPr/>
      </w:pPr>
      <w:r>
        <w:rPr>
          <w:b/>
          <w:i/>
        </w:rPr>
        <w:t>Водопровод В2.1</w:t>
      </w:r>
      <w:r>
        <w:rPr/>
        <w:t xml:space="preserve"> - противопожарный предусмотрен для подачи воды на противопожарные нужды 3-х этажного здания с нежилыми помещениями (офисы). Пожаротушение осуществляется от внутренних пожарных кранов, расположенных на каждом этаже, которые устанавливаются в пожарных шкафах ШПК-Пульс-320Н.</w:t>
      </w:r>
    </w:p>
    <w:p>
      <w:pPr>
        <w:pStyle w:val="Normal"/>
        <w:rPr/>
      </w:pPr>
      <w:r>
        <w:rPr/>
        <w:t>Противопожарная сеть в 3-х этажном здании принята тупиковой и присоединяется одним вводом к наружной сети.</w:t>
      </w:r>
    </w:p>
    <w:p>
      <w:pPr>
        <w:pStyle w:val="Normal"/>
        <w:rPr/>
      </w:pPr>
      <w:r>
        <w:rPr/>
        <w:t xml:space="preserve">Расчетный расход воды на внутреннее пожаротушение составляет 1 струя по 2,6л/с. </w:t>
      </w:r>
    </w:p>
    <w:p>
      <w:pPr>
        <w:pStyle w:val="Normal"/>
        <w:rPr/>
      </w:pPr>
      <w:r>
        <w:rPr/>
        <w:t>Для обеспечения потребного расхода и напора в сети при пожаротушении 3-х этажного здания с нежилыми помещениями (офисы), в подвале в осях 5с-6с; А-Б, предусматривается повысительная установка пожаротушения ГРАНФЛОУ УНВп с насосами 2DPV 10/1 фирмы «АДЛ» производительностью Q=9,36м³/ч; напором Н=7,0м; мощностью N=2х0,75кВт (1 рабочий, 1 резервный).</w:t>
      </w:r>
    </w:p>
    <w:p>
      <w:pPr>
        <w:pStyle w:val="Normal"/>
        <w:rPr/>
      </w:pPr>
      <w:r>
        <w:rPr/>
        <w:t>Стояки и магистральные трубопроводы системы В2.1 проектируются из стальных электросварных труб по ГОСТ 10704-91*.</w:t>
      </w:r>
    </w:p>
    <w:p>
      <w:pPr>
        <w:pStyle w:val="Normal"/>
        <w:rPr/>
      </w:pPr>
      <w:r>
        <w:rPr>
          <w:highlight w:val="yellow"/>
        </w:rPr>
        <w:t xml:space="preserve"> </w:t>
      </w:r>
      <w:r>
        <w:rPr/>
        <w:t xml:space="preserve"> </w:t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  <w:t xml:space="preserve">Горячее водоснабжение. </w:t>
      </w:r>
    </w:p>
    <w:p>
      <w:pPr>
        <w:pStyle w:val="Normal"/>
        <w:rPr/>
      </w:pPr>
      <w:r>
        <w:rPr>
          <w:b/>
          <w:i/>
        </w:rPr>
        <w:t>Горячее водоснабжение жилого дома</w:t>
      </w:r>
      <w:r>
        <w:rPr/>
        <w:t xml:space="preserve"> поз.4(секции 6,7,8) с офисами на 1-ом этаже (секции 8), предусматривается для подачи воды на хозяйственно-питьевые нужды. Подача и учет горячей воды осуществляется от ИТП жилого дома, расположенном в подвале (секции 6) в осях 5с-7с, Ас-Гс на отм. -2,500 (см.проект ТМ). </w:t>
      </w:r>
    </w:p>
    <w:p>
      <w:pPr>
        <w:pStyle w:val="Normal"/>
        <w:rPr/>
      </w:pPr>
      <w:r>
        <w:rPr/>
        <w:t>Система горячего водоснабжения жилого дома поз.4 предусмотрена с нижней разводкой. В каждой квартире предусмотрена установка полотенцесушителей от системы Т3, отключение которых, предусмотрено с помощью шаровых кранов Ду20мм, устанавливаемых на верхних и нижних подводках к прибору.</w:t>
      </w:r>
    </w:p>
    <w:p>
      <w:pPr>
        <w:pStyle w:val="Normal"/>
        <w:rPr/>
      </w:pPr>
      <w:r>
        <w:rPr/>
        <w:t>Поквартирный учет горячей воды производится счетчиками ВСГ-15</w:t>
      </w:r>
    </w:p>
    <w:p>
      <w:pPr>
        <w:pStyle w:val="Normal"/>
        <w:rPr/>
      </w:pPr>
      <w:r>
        <w:rPr/>
        <w:t>Расчетный расход горячей воды составляет: 24,07м3/сут, 4,71м3/ч, 1,97л/с</w:t>
      </w:r>
    </w:p>
    <w:p>
      <w:pPr>
        <w:pStyle w:val="Normal"/>
        <w:rPr/>
      </w:pPr>
      <w:r>
        <w:rPr/>
        <w:t>Стояки и магистральные трубопроводы систем  Т3, Т4 проектируются из стальных водогазопроводных оцинкованных труб диаметром по ГОСТ 3262-75*. Разводка по санитарным узлам, проектируются из полипропиленовых труб P-РR Дн20, по ТУ 2248-027-70239139-2008.</w:t>
      </w:r>
    </w:p>
    <w:p>
      <w:pPr>
        <w:pStyle w:val="Normal"/>
        <w:rPr/>
      </w:pPr>
      <w:r>
        <w:rPr>
          <w:b/>
          <w:i/>
        </w:rPr>
        <w:t>Горячее водоснабжение 3-х этажного здания</w:t>
      </w:r>
      <w:r>
        <w:rPr/>
        <w:t xml:space="preserve"> с нежилыми помещениями (офисы), предусматривается для подачи воды на хозяйственно-питьевые нужды. Подача горячей воды осуществляется при помощи водонагревателей Electrolux EWH 50 CENTURIO DL, объемом 50л, расположенные на каждом этаже, в каждом санузле.</w:t>
      </w:r>
    </w:p>
    <w:p>
      <w:pPr>
        <w:pStyle w:val="Normal"/>
        <w:widowControl/>
        <w:ind w:hanging="0"/>
        <w:rPr>
          <w:rFonts w:eastAsia="Times New Roman"/>
          <w:b/>
          <w:b/>
          <w:color w:val="000000"/>
        </w:rPr>
      </w:pPr>
      <w:r>
        <w:rPr>
          <w:rFonts w:eastAsia="Times New Roman"/>
          <w:b/>
          <w:color w:val="000000"/>
        </w:rPr>
      </w:r>
    </w:p>
    <w:p>
      <w:pPr>
        <w:pStyle w:val="Normal"/>
        <w:widowControl/>
        <w:ind w:hanging="0"/>
        <w:rPr>
          <w:rFonts w:eastAsia="Times New Roman"/>
          <w:b/>
          <w:b/>
          <w:color w:val="000000"/>
        </w:rPr>
      </w:pPr>
      <w:r>
        <w:rPr>
          <w:rFonts w:eastAsia="Times New Roman"/>
          <w:b/>
          <w:color w:val="000000"/>
        </w:rPr>
        <w:t xml:space="preserve"> </w:t>
      </w:r>
      <w:r>
        <w:rPr>
          <w:rFonts w:eastAsia="Times New Roman"/>
          <w:b/>
          <w:color w:val="000000"/>
        </w:rPr>
        <w:t>Система водоотведения</w:t>
      </w:r>
    </w:p>
    <w:p>
      <w:pPr>
        <w:pStyle w:val="Normal"/>
        <w:widowControl/>
        <w:ind w:firstLine="709"/>
        <w:rPr>
          <w:rFonts w:eastAsia="Times New Roman"/>
          <w:b/>
          <w:b/>
        </w:rPr>
      </w:pPr>
      <w:r>
        <w:rPr>
          <w:rFonts w:eastAsia="Times New Roman"/>
          <w:b/>
        </w:rPr>
        <w:t>Внутренние системы водоотведения</w:t>
      </w:r>
    </w:p>
    <w:p>
      <w:pPr>
        <w:pStyle w:val="Normal"/>
        <w:rPr/>
      </w:pPr>
      <w:r>
        <w:rPr/>
        <w:t>Подключение санитарно-технических приборов предусматривается к существующим внутриквартальным канализационным сетям.</w:t>
      </w:r>
    </w:p>
    <w:p>
      <w:pPr>
        <w:pStyle w:val="Normal"/>
        <w:rPr/>
      </w:pPr>
      <w:r>
        <w:rPr/>
        <w:t>Проектом предусмотрены следующие системы:</w:t>
      </w:r>
    </w:p>
    <w:p>
      <w:pPr>
        <w:pStyle w:val="Normal"/>
        <w:rPr/>
      </w:pPr>
      <w:r>
        <w:rPr/>
        <w:t>К1– канализация бытовая (жилая часть);</w:t>
      </w:r>
    </w:p>
    <w:p>
      <w:pPr>
        <w:pStyle w:val="Normal"/>
        <w:rPr/>
      </w:pPr>
      <w:r>
        <w:rPr/>
        <w:t xml:space="preserve">К1.1 — канализация бытовая (нежилые помещения(офисы)); </w:t>
      </w:r>
    </w:p>
    <w:p>
      <w:pPr>
        <w:pStyle w:val="Normal"/>
        <w:rPr/>
      </w:pPr>
      <w:r>
        <w:rPr/>
        <w:t>К2 – канализация дождевая (жилая часть);</w:t>
      </w:r>
    </w:p>
    <w:p>
      <w:pPr>
        <w:pStyle w:val="Normal"/>
        <w:rPr/>
      </w:pPr>
      <w:r>
        <w:rPr/>
        <w:t>К2.1 – канализация дождевая (нежилые помещения(офисы));</w:t>
      </w:r>
    </w:p>
    <w:p>
      <w:pPr>
        <w:pStyle w:val="Normal"/>
        <w:rPr/>
      </w:pPr>
      <w:r>
        <w:rPr/>
        <w:t>К3Н – канализация производственная напорная от ИТП и насосной;</w:t>
      </w:r>
    </w:p>
    <w:p>
      <w:pPr>
        <w:pStyle w:val="Normal"/>
        <w:rPr/>
      </w:pPr>
      <w:r>
        <w:rPr/>
        <w:t>К3Н.1 – канализация производственная напорная от ИТП и насосной (нежилые</w:t>
      </w:r>
    </w:p>
    <w:p>
      <w:pPr>
        <w:pStyle w:val="Normal"/>
        <w:rPr/>
      </w:pPr>
      <w:r>
        <w:rPr/>
        <w:t>помещения(офисы)).</w:t>
      </w:r>
    </w:p>
    <w:p>
      <w:pPr>
        <w:pStyle w:val="Normal"/>
        <w:rPr/>
      </w:pPr>
      <w:r>
        <w:rPr>
          <w:b/>
          <w:i/>
        </w:rPr>
        <w:t>Канализация бытовая К1</w:t>
      </w:r>
      <w:r>
        <w:rPr/>
        <w:t xml:space="preserve"> предусмотрена для отвода бытовых стоков от санитарных приборов секций 6, 7, 8 жилого дома в наружные сети бытовой канализации тремя выпусками Ф110мм. </w:t>
      </w:r>
    </w:p>
    <w:p>
      <w:pPr>
        <w:pStyle w:val="Normal"/>
        <w:rPr/>
      </w:pPr>
      <w:r>
        <w:rPr/>
        <w:t xml:space="preserve">Внутренние сети канализации жилого дома, в основном, прокладываются открыто. На сети бытовой канализации устанавливаются прочистки, которые плотно закрываются заглушками. </w:t>
      </w:r>
    </w:p>
    <w:p>
      <w:pPr>
        <w:pStyle w:val="Normal"/>
        <w:rPr/>
      </w:pPr>
      <w:r>
        <w:rPr/>
        <w:t>Системы К1 жилого дома предусматриваются из полиэтиленовых канализационных труб Ду 50-110 мм по ГОСТ 22689-89.На стояках бытовой канализации К1 устанавливаются противопожарные муфты со вспучивающим огнезащитным составом, препятствующие распространению пламени по этажам.</w:t>
      </w:r>
    </w:p>
    <w:p>
      <w:pPr>
        <w:pStyle w:val="Normal"/>
        <w:rPr/>
      </w:pPr>
      <w:r>
        <w:rPr/>
        <w:t>Расчетный расход бытовых стоков составляет – 70,80м3/сут; 8,19м3/ч; 4,97л/с.</w:t>
      </w:r>
    </w:p>
    <w:p>
      <w:pPr>
        <w:pStyle w:val="Normal"/>
        <w:rPr/>
      </w:pPr>
      <w:r>
        <w:rPr>
          <w:b/>
          <w:i/>
        </w:rPr>
        <w:t>Система бытовой канализации К1.1</w:t>
      </w:r>
      <w:r>
        <w:rPr/>
        <w:t xml:space="preserve"> предусмотрена для отвода бытовых стоков от санитарных приборов 3-х этажного здания с нежилыми помещениями (офисы), в наружную сеть бытовой канализации двумя выпусками Ø110.</w:t>
      </w:r>
    </w:p>
    <w:p>
      <w:pPr>
        <w:pStyle w:val="Normal"/>
        <w:rPr/>
      </w:pPr>
      <w:r>
        <w:rPr/>
        <w:t>Подвальная разводка, стояки, выпуски системы К1.1 нежилых помещений (офисы) проектируются из полиэтиленовых канализационных труб Ду 50-110 мм по ГОСТ 22689-89.</w:t>
      </w:r>
    </w:p>
    <w:p>
      <w:pPr>
        <w:pStyle w:val="Normal"/>
        <w:rPr/>
      </w:pPr>
      <w:r>
        <w:rPr/>
        <w:t>Расчетный расход бытовых стоков составляет – 0,75м3/сут; 0,66м3/ч; 2,02л/с.</w:t>
      </w:r>
    </w:p>
    <w:p>
      <w:pPr>
        <w:pStyle w:val="Normal"/>
        <w:rPr/>
      </w:pPr>
      <w:r>
        <w:rPr>
          <w:b/>
          <w:i/>
        </w:rPr>
        <w:t>Система производственной напорной канализации К3Н</w:t>
      </w:r>
      <w:r>
        <w:rPr/>
        <w:t xml:space="preserve"> предусматривается для сбора аварийных проливов и опорожнения систем водоснабжения  в помещении насосной станции. Для сбора аварийных проливов и опорожнения систем водоснабжения предусмотрена установка насосов марки EBARA серии BEST2M фирмы «АДЛ», производительностью Q=8,60м3/ч;  напором Н=5,0м, мощностью N=0,55 кВт, в приямке 600х600х600(h), работающий в автоматическом режиме в зависимости от уровня воды в приямке. </w:t>
      </w:r>
    </w:p>
    <w:p>
      <w:pPr>
        <w:pStyle w:val="Normal"/>
        <w:rPr/>
      </w:pPr>
      <w:r>
        <w:rPr/>
        <w:t xml:space="preserve">Отвод стоков осуществляется в систему бытовой канализации. Трубопроводы производственной напорной канализации К3Н предусматриваются из стальных электросварных труб Д-57х3,5 мм ГОСТ 10704-91*. </w:t>
      </w:r>
    </w:p>
    <w:p>
      <w:pPr>
        <w:pStyle w:val="Normal"/>
        <w:rPr/>
      </w:pPr>
      <w:r>
        <w:rPr>
          <w:b/>
          <w:i/>
        </w:rPr>
        <w:t>Система производственной напорной канализации К3Н.1</w:t>
      </w:r>
      <w:r>
        <w:rPr/>
        <w:t xml:space="preserve"> Для сбора аварийных проливов и опорожнения систем водоснабжения и отопления нежилых помещений (офисы) в помещении ИТП и насосной станции предусматриваются дренажные приямки с погружными насосами EBARA серии BEST2M фирмы «АДЛ», производительностью, Q=4,25м3/ч; напором Н=5,0м, мощностью N=0,55 кВт, в приямках 600х600х600(h), работающих в автоматическом режиме в зависимости от уровня воды в приямках. </w:t>
      </w:r>
    </w:p>
    <w:p>
      <w:pPr>
        <w:pStyle w:val="Normal"/>
        <w:rPr/>
      </w:pPr>
      <w:r>
        <w:rPr/>
        <w:t xml:space="preserve">Отвод стоков осуществляется в систему бытовой канализации. Трубопроводы производственной напорной канализации К3Н.1 предусматриваются из стальных электросварных труб Ду 57х3,0 ГОСТ 10704-91*.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</w:t>
      </w:r>
      <w:r>
        <w:rPr>
          <w:b/>
          <w:i/>
        </w:rPr>
        <w:t>Канализация дождевая К2</w:t>
      </w:r>
      <w:r>
        <w:rPr/>
        <w:t xml:space="preserve"> предусмотрена для отвода дождевых и талых вод с кровли здания. Отвод стоков осуществляется через водосточные воронки Ду100мм марки Вр-9 по внутренним водостокам пятью выпусками Ø108х4,0 в наружную сеть дождевой канализации.</w:t>
      </w:r>
    </w:p>
    <w:p>
      <w:pPr>
        <w:pStyle w:val="Normal"/>
        <w:rPr/>
      </w:pPr>
      <w:r>
        <w:rPr/>
        <w:t>Сеть дождевой канализации выполняется из стальных электросварных труб Ду108х4,0мм по ГОСТ 10704-91*.</w:t>
      </w:r>
    </w:p>
    <w:p>
      <w:pPr>
        <w:pStyle w:val="Normal"/>
        <w:rPr/>
      </w:pPr>
      <w:r>
        <w:rPr>
          <w:b/>
          <w:i/>
        </w:rPr>
        <w:t>Канализация дождевая К2.1</w:t>
      </w:r>
      <w:r>
        <w:rPr/>
        <w:t xml:space="preserve"> предусмотрена для отвода дождевых и талых вод с кровли здания нежилых помещений (офисы). Отвод стоков осуществляется через водосточные воронки Ду100мм марки Вр-9 по внутренним водостокам двумя выпусками Ø110 в наружную сеть дождевой канализации. </w:t>
      </w:r>
    </w:p>
    <w:p>
      <w:pPr>
        <w:pStyle w:val="Normal"/>
        <w:rPr/>
      </w:pPr>
      <w:r>
        <w:rPr/>
        <w:t>Сеть дождевой канализации К2.1 выполняется из стальных электросварных труб Ду108х4,0мм по ГОСТ 10704-91*.</w:t>
      </w:r>
    </w:p>
    <w:p>
      <w:pPr>
        <w:pStyle w:val="Normal"/>
        <w:rPr/>
      </w:pPr>
      <w:r>
        <w:rPr/>
        <w:t>Расчетный расход дождевых стоков составляет:</w:t>
      </w:r>
    </w:p>
    <w:p>
      <w:pPr>
        <w:pStyle w:val="Normal"/>
        <w:tabs>
          <w:tab w:val="left" w:pos="720" w:leader="none"/>
        </w:tabs>
        <w:rPr/>
      </w:pPr>
      <w:r>
        <w:rPr/>
        <w:t>для жилого дома — 9,39 л/с;</w:t>
      </w:r>
    </w:p>
    <w:p>
      <w:pPr>
        <w:pStyle w:val="Normal"/>
        <w:tabs>
          <w:tab w:val="left" w:pos="720" w:leader="none"/>
        </w:tabs>
        <w:rPr/>
      </w:pPr>
      <w:r>
        <w:rPr/>
        <w:t>для нежилых помещений (офисы) — 4,21 л/с.</w:t>
      </w:r>
    </w:p>
    <w:p>
      <w:pPr>
        <w:pStyle w:val="Normal"/>
        <w:rPr/>
      </w:pPr>
      <w:r>
        <w:rPr/>
      </w:r>
    </w:p>
    <w:p>
      <w:pPr>
        <w:pStyle w:val="Normal"/>
        <w:ind w:right="-1" w:hanging="0"/>
        <w:rPr>
          <w:color w:val="000000" w:themeColor="text1"/>
          <w:highlight w:val="yellow"/>
        </w:rPr>
      </w:pPr>
      <w:r>
        <w:rPr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b/>
          <w:color w:val="000000" w:themeColor="text1"/>
        </w:rPr>
        <w:t>3.2.2.2</w:t>
      </w:r>
      <w:r>
        <w:rPr>
          <w:rFonts w:eastAsia="Times New Roman"/>
          <w:b/>
          <w:color w:val="000000" w:themeColor="text1"/>
        </w:rPr>
        <w:t xml:space="preserve"> Проект организации демонтажа</w:t>
      </w:r>
    </w:p>
    <w:p>
      <w:pPr>
        <w:pStyle w:val="Normal"/>
        <w:widowControl/>
        <w:ind w:right="-1" w:firstLine="709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spacing w:lineRule="auto" w:line="276"/>
        <w:ind w:firstLine="540"/>
        <w:rPr/>
      </w:pPr>
      <w:r>
        <w:rPr/>
        <w:t>Проект организации демонтажа разработан для земельного участка с кадастровым номером 63:09:0101179:569. Площадь участка составляет 13895 м</w:t>
      </w:r>
      <w:r>
        <w:rPr>
          <w:vertAlign w:val="superscript"/>
        </w:rPr>
        <w:t>2</w:t>
      </w:r>
      <w:r>
        <w:rPr/>
        <w:t>.</w:t>
      </w:r>
    </w:p>
    <w:p>
      <w:pPr>
        <w:pStyle w:val="Normal"/>
        <w:ind w:firstLine="540"/>
        <w:rPr/>
      </w:pPr>
      <w:r>
        <w:rPr/>
        <w:t>Демонтажу подлежат:</w:t>
      </w:r>
    </w:p>
    <w:p>
      <w:pPr>
        <w:pStyle w:val="Normal"/>
        <w:widowControl/>
        <w:numPr>
          <w:ilvl w:val="0"/>
          <w:numId w:val="1"/>
        </w:numPr>
        <w:jc w:val="left"/>
        <w:rPr/>
      </w:pPr>
      <w:r>
        <w:rPr/>
        <w:t>Железобетонные опоры высотой до 9 м</w:t>
      </w:r>
    </w:p>
    <w:p>
      <w:pPr>
        <w:pStyle w:val="Normal"/>
        <w:ind w:left="540" w:firstLine="720"/>
        <w:rPr/>
      </w:pPr>
      <w:r>
        <w:rPr/>
        <w:t xml:space="preserve">- одностоечные  - 12 шт. </w:t>
      </w:r>
    </w:p>
    <w:p>
      <w:pPr>
        <w:pStyle w:val="Normal"/>
        <w:ind w:left="540" w:firstLine="720"/>
        <w:rPr/>
      </w:pPr>
      <w:r>
        <w:rPr/>
        <w:t>- двухстоечные -  3 шт.</w:t>
      </w:r>
    </w:p>
    <w:p>
      <w:pPr>
        <w:pStyle w:val="Normal"/>
        <w:ind w:left="540" w:firstLine="720"/>
        <w:rPr/>
      </w:pPr>
      <w:r>
        <w:rPr/>
        <w:t xml:space="preserve"> </w:t>
      </w:r>
      <w:r>
        <w:rPr/>
        <w:t xml:space="preserve">2. Линейная арматура и светильники  на высоте до 9 м,  масса до 10 кг  - 15 шт </w:t>
      </w:r>
    </w:p>
    <w:p>
      <w:pPr>
        <w:pStyle w:val="Normal"/>
        <w:ind w:left="540" w:firstLine="720"/>
        <w:rPr/>
      </w:pPr>
      <w:r>
        <w:rPr/>
        <w:t xml:space="preserve"> </w:t>
      </w:r>
      <w:r>
        <w:rPr/>
        <w:t>3. Провода СИП 2А 4 х16+1х25    масса провода 356,98 кг/км  - 0,350 км.</w:t>
      </w:r>
    </w:p>
    <w:p>
      <w:pPr>
        <w:pStyle w:val="Normal"/>
        <w:ind w:firstLine="540"/>
        <w:rPr/>
      </w:pPr>
      <w:r>
        <w:rPr/>
        <w:t>Перед проведением демонтажных работ по периметру площадки устанавливается временное ограждение во избежание  проникновения людей и животных в опасную зону. При въезде в зону демонтажа устанавливаются знаки безопасности.</w:t>
      </w:r>
    </w:p>
    <w:p>
      <w:pPr>
        <w:pStyle w:val="Normal"/>
        <w:ind w:left="540" w:firstLine="720"/>
        <w:rPr/>
      </w:pPr>
      <w:r>
        <w:rPr/>
        <w:t>Демонтаж производится механическим способом с помощью автокрана.</w:t>
      </w:r>
    </w:p>
    <w:p>
      <w:pPr>
        <w:pStyle w:val="Normal"/>
        <w:ind w:firstLine="540"/>
        <w:rPr/>
      </w:pPr>
      <w:r>
        <w:rPr/>
        <w:t xml:space="preserve">Размер опасной зоны при перемещении груза краном равен  13,5 м.       </w:t>
      </w:r>
    </w:p>
    <w:p>
      <w:pPr>
        <w:pStyle w:val="Normal"/>
        <w:ind w:firstLine="540"/>
        <w:rPr/>
      </w:pPr>
      <w:r>
        <w:rPr/>
        <w:t>Существующие подземные коммуникации в районе строительства не подвергаются вскрытию. По территории демонтажа не проходят трубопроводы   под давлением (пар, газ). Следовательно, письменного разрешения эксплуатирующих данные коммуникации организаций на проведение работ не требуется.</w:t>
      </w:r>
    </w:p>
    <w:p>
      <w:pPr>
        <w:pStyle w:val="Normal"/>
        <w:ind w:firstLine="540"/>
        <w:rPr/>
      </w:pPr>
      <w:r>
        <w:rPr/>
        <w:t>Методы защиты и защитные устройства  сетей инженерно-технического обеспечения в данном проекте не предусмотрены.</w:t>
      </w:r>
    </w:p>
    <w:p>
      <w:pPr>
        <w:pStyle w:val="Normal"/>
        <w:ind w:firstLine="540"/>
        <w:rPr/>
      </w:pPr>
      <w:r>
        <w:rPr/>
        <w:t>Демонтируемые конструкции и мусор вывозятся с площадки   в места  утилизации городских отходов  сразу после демонтажа по согласованию с городской администрацией.</w:t>
      </w:r>
    </w:p>
    <w:p>
      <w:pPr>
        <w:pStyle w:val="Normal"/>
        <w:ind w:firstLine="540"/>
        <w:rPr/>
      </w:pPr>
      <w:r>
        <w:rPr/>
        <w:t xml:space="preserve">До начала демонтажа опор выполняются следующие работы : </w:t>
      </w:r>
    </w:p>
    <w:p>
      <w:pPr>
        <w:pStyle w:val="Normal"/>
        <w:ind w:firstLine="540"/>
        <w:rPr/>
      </w:pPr>
      <w:r>
        <w:rPr/>
        <w:t xml:space="preserve">- устройство подъездов к опоре; </w:t>
      </w:r>
    </w:p>
    <w:p>
      <w:pPr>
        <w:pStyle w:val="Normal"/>
        <w:ind w:firstLine="540"/>
        <w:rPr/>
      </w:pPr>
      <w:r>
        <w:rPr/>
        <w:t xml:space="preserve">- демонтаж проводов и грозозащитных тросов с уборкой их за пределы трассы; </w:t>
      </w:r>
    </w:p>
    <w:p>
      <w:pPr>
        <w:pStyle w:val="Normal"/>
        <w:ind w:firstLine="540"/>
        <w:rPr/>
      </w:pPr>
      <w:r>
        <w:rPr/>
        <w:t>- вывозка на пикет монтажной стрелы и такелажа.</w:t>
      </w:r>
    </w:p>
    <w:p>
      <w:pPr>
        <w:pStyle w:val="Normal"/>
        <w:ind w:left="540" w:hanging="0"/>
        <w:rPr/>
      </w:pPr>
      <w:r>
        <w:rPr/>
        <w:t>Демонтаж одной опоры бригадой  рабочих в составе 9 человек  производится за 5 часов. Продолжительность демонтажа 15 опор вместе со светильниками и проводами составит 10 дней.</w:t>
      </w:r>
    </w:p>
    <w:p>
      <w:pPr>
        <w:pStyle w:val="Normal"/>
        <w:widowControl/>
        <w:ind w:right="-1" w:hanging="0"/>
        <w:rPr>
          <w:rFonts w:eastAsia="Times New Roman"/>
          <w:b/>
          <w:b/>
          <w:bCs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</w:r>
    </w:p>
    <w:p>
      <w:pPr>
        <w:pStyle w:val="Normal"/>
        <w:widowControl/>
        <w:ind w:right="-1" w:firstLine="709"/>
        <w:jc w:val="center"/>
        <w:rPr>
          <w:rFonts w:eastAsia="Times New Roman"/>
          <w:b/>
          <w:b/>
          <w:bCs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4. Выводы по результатам рассмотрения</w:t>
      </w:r>
    </w:p>
    <w:p>
      <w:pPr>
        <w:pStyle w:val="Normal"/>
        <w:widowControl/>
        <w:ind w:right="-1" w:firstLine="709"/>
        <w:rPr>
          <w:rFonts w:eastAsia="Times New Roman"/>
          <w:b/>
          <w:b/>
          <w:color w:val="000000" w:themeColor="text1"/>
          <w:highlight w:val="yellow"/>
        </w:rPr>
      </w:pPr>
      <w:r>
        <w:rPr>
          <w:rFonts w:eastAsia="Times New Roman"/>
          <w:b/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4.1. Выводы о соответствии или несоответствии в отношении рассмотренных разделов проектной документации. Каждый вывод о несоответствии должен быть мотивирован и содержать ссылку на конкретный нормативный акт и (или) документ, его раздел, статью, пункт и т.д. или содержать ссылку на соответствующие результаты инженерных изысканий</w:t>
      </w:r>
    </w:p>
    <w:p>
      <w:pPr>
        <w:pStyle w:val="Normal"/>
        <w:widowControl/>
        <w:ind w:right="-1" w:firstLine="709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ind w:right="-1" w:firstLine="709"/>
        <w:rPr>
          <w:rFonts w:eastAsia="Times New Roman"/>
          <w:iCs/>
          <w:color w:val="000000" w:themeColor="text1"/>
        </w:rPr>
      </w:pPr>
      <w:r>
        <w:rPr>
          <w:rFonts w:eastAsia="Times New Roman"/>
          <w:color w:val="000000" w:themeColor="text1"/>
        </w:rPr>
        <w:t>4.1.1. Система водоснабжения</w:t>
      </w:r>
      <w:r>
        <w:rPr>
          <w:rFonts w:eastAsia="Times New Roman"/>
          <w:b/>
          <w:i/>
          <w:color w:val="000000" w:themeColor="text1"/>
        </w:rPr>
        <w:t xml:space="preserve"> соответствует</w:t>
      </w:r>
      <w:r>
        <w:rPr>
          <w:rFonts w:eastAsia="Times New Roman"/>
          <w:color w:val="000000" w:themeColor="text1"/>
        </w:rPr>
        <w:t xml:space="preserve"> требованиям </w:t>
      </w:r>
      <w:r>
        <w:rPr>
          <w:rFonts w:eastAsia="Times New Roman"/>
          <w:iCs/>
          <w:color w:val="000000" w:themeColor="text1"/>
        </w:rPr>
        <w:t>технических регламентов, градостроительных регламентов, градостроительному плану земельного участка, национальным стандартам, результатам инженерных изысканий, заданию на проектирование.</w:t>
      </w:r>
    </w:p>
    <w:p>
      <w:pPr>
        <w:pStyle w:val="Normal"/>
        <w:ind w:right="-1" w:firstLine="709"/>
        <w:rPr>
          <w:rFonts w:eastAsia="Times New Roman"/>
          <w:iCs/>
          <w:color w:val="000000" w:themeColor="text1"/>
        </w:rPr>
      </w:pPr>
      <w:r>
        <w:rPr>
          <w:rFonts w:eastAsia="Times New Roman"/>
          <w:color w:val="000000" w:themeColor="text1"/>
        </w:rPr>
        <w:t>4.1.2. Система водоотведения</w:t>
      </w:r>
      <w:r>
        <w:rPr>
          <w:rFonts w:eastAsia="Times New Roman"/>
          <w:b/>
          <w:i/>
          <w:color w:val="000000" w:themeColor="text1"/>
        </w:rPr>
        <w:t xml:space="preserve"> соответствует</w:t>
      </w:r>
      <w:r>
        <w:rPr>
          <w:rFonts w:eastAsia="Times New Roman"/>
          <w:color w:val="000000" w:themeColor="text1"/>
        </w:rPr>
        <w:t xml:space="preserve"> требованиям </w:t>
      </w:r>
      <w:r>
        <w:rPr>
          <w:rFonts w:eastAsia="Times New Roman"/>
          <w:iCs/>
          <w:color w:val="000000" w:themeColor="text1"/>
        </w:rPr>
        <w:t>технических регламентов, градостроительных регламентов, градостроительному плану земельного участка, национальным стандартам, результатам инженерных изысканий, заданию на проектирование.</w:t>
      </w:r>
    </w:p>
    <w:p>
      <w:pPr>
        <w:pStyle w:val="Normal"/>
        <w:ind w:right="-1" w:firstLine="709"/>
        <w:rPr>
          <w:rFonts w:eastAsia="Times New Roman"/>
          <w:iCs/>
          <w:color w:val="000000" w:themeColor="text1"/>
        </w:rPr>
      </w:pPr>
      <w:r>
        <w:rPr>
          <w:rFonts w:eastAsia="Times New Roman"/>
          <w:color w:val="000000" w:themeColor="text1"/>
        </w:rPr>
        <w:t>4.1.3. Проект организации демонтажа</w:t>
      </w:r>
      <w:r>
        <w:rPr>
          <w:rFonts w:eastAsia="Times New Roman"/>
          <w:b/>
          <w:i/>
          <w:color w:val="000000" w:themeColor="text1"/>
        </w:rPr>
        <w:t xml:space="preserve"> соответствует</w:t>
      </w:r>
      <w:r>
        <w:rPr>
          <w:rFonts w:eastAsia="Times New Roman"/>
          <w:color w:val="000000" w:themeColor="text1"/>
        </w:rPr>
        <w:t xml:space="preserve"> требованиям </w:t>
      </w:r>
      <w:r>
        <w:rPr>
          <w:rFonts w:eastAsia="Times New Roman"/>
          <w:iCs/>
          <w:color w:val="000000" w:themeColor="text1"/>
        </w:rPr>
        <w:t>технических регламентов, градостроительных регламентов, градостроительному плану земельного участка, национальным стандартам, заданию на проектирование.</w:t>
      </w:r>
    </w:p>
    <w:p>
      <w:pPr>
        <w:pStyle w:val="Normal"/>
        <w:widowControl/>
        <w:ind w:right="-1" w:firstLine="709"/>
        <w:rPr>
          <w:rFonts w:eastAsia="Times New Roman"/>
          <w:iCs/>
          <w:color w:val="000000" w:themeColor="text1"/>
        </w:rPr>
      </w:pPr>
      <w:r>
        <w:rPr>
          <w:rFonts w:eastAsia="Times New Roman"/>
          <w:iCs/>
          <w:color w:val="000000" w:themeColor="text1"/>
        </w:rPr>
      </w:r>
    </w:p>
    <w:p>
      <w:pPr>
        <w:pStyle w:val="Normal"/>
        <w:ind w:right="-1" w:firstLine="709"/>
        <w:rPr>
          <w:color w:val="000000" w:themeColor="text1"/>
          <w:highlight w:val="yellow"/>
        </w:rPr>
      </w:pPr>
      <w:r>
        <w:rPr>
          <w:color w:val="000000" w:themeColor="text1"/>
          <w:highlight w:val="yellow"/>
        </w:rPr>
      </w:r>
    </w:p>
    <w:p>
      <w:pPr>
        <w:pStyle w:val="Normal"/>
        <w:widowControl/>
        <w:ind w:right="-1" w:hanging="0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4.2. Общие выводы о соответствии или несоответствии объекта негосударственной экспертизы требованиям, установленным при оценке соответствия</w:t>
      </w:r>
    </w:p>
    <w:p>
      <w:pPr>
        <w:pStyle w:val="Normal"/>
        <w:widowControl/>
        <w:ind w:right="-1" w:firstLine="709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ind w:right="-1" w:firstLine="708"/>
        <w:rPr>
          <w:rFonts w:ascii="Times New Roman CYR" w:hAnsi="Times New Roman CYR" w:eastAsia="Times New Roman CYR" w:cs="Times New Roman CYR"/>
          <w:bCs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Проектная документация  в части внесенных изменений в раздел ИОС 2,3 и дополнительный раздел ПОД по объекту: </w:t>
      </w:r>
      <w:r>
        <w:rPr>
          <w:color w:val="000000" w:themeColor="text1"/>
        </w:rPr>
        <w:t xml:space="preserve">«Многоквартирные многоэтажные  жилые дома со встроенно-пристроенными помещениями делового, культурного и обслуживающего назначения по ул. Юбилейной в Автозаводском районе г. Тольятти. Жилой дом поз. 4», 1 и 2 этапы строительства, </w:t>
      </w:r>
      <w:r>
        <w:rPr>
          <w:rFonts w:eastAsia="Times New Roman"/>
          <w:b/>
          <w:color w:val="000000" w:themeColor="text1"/>
        </w:rPr>
        <w:t xml:space="preserve"> соответствуют</w:t>
      </w:r>
      <w:r>
        <w:rPr>
          <w:rFonts w:eastAsia="Times New Roman"/>
          <w:color w:val="000000" w:themeColor="text1"/>
        </w:rPr>
        <w:t xml:space="preserve"> требованиям </w:t>
      </w:r>
      <w:r>
        <w:rPr>
          <w:rFonts w:eastAsia="Times New Roman"/>
          <w:iCs/>
          <w:color w:val="000000" w:themeColor="text1"/>
        </w:rPr>
        <w:t>технических регламентов, градостроительных регламентов, градостроительному плану земельного участка, национальным стандартам, результатам инженерных изысканий, заданию на проектирование.</w:t>
      </w:r>
    </w:p>
    <w:p>
      <w:pPr>
        <w:pStyle w:val="Normal"/>
        <w:widowControl/>
        <w:ind w:right="-1" w:firstLine="709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Соответствие проектной документации действующим нормам и правилам проектирования удостоверено подписью главного инженера проекта </w:t>
      </w:r>
      <w:r>
        <w:rPr>
          <w:rStyle w:val="FontStyle19"/>
          <w:bCs/>
          <w:color w:val="000000" w:themeColor="text1"/>
        </w:rPr>
        <w:t>Васильевой И.В.</w:t>
      </w:r>
    </w:p>
    <w:p>
      <w:pPr>
        <w:pStyle w:val="Normal"/>
        <w:widowControl/>
        <w:ind w:right="-1" w:firstLine="709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Проектная документация рекомендуется к утверждению для реализации в установленном порядке с основными технико-экономическими показателями:</w:t>
      </w:r>
    </w:p>
    <w:p>
      <w:pPr>
        <w:pStyle w:val="Normal"/>
        <w:widowControl/>
        <w:ind w:right="-1" w:firstLine="709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</w:p>
    <w:tbl>
      <w:tblPr>
        <w:tblW w:w="1003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5093"/>
        <w:gridCol w:w="1189"/>
        <w:gridCol w:w="1116"/>
        <w:gridCol w:w="1397"/>
        <w:gridCol w:w="1"/>
        <w:gridCol w:w="1235"/>
      </w:tblGrid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Наименование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Ед.изм.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1 этап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 этап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Всего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Площадь участка в границах землеотвода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25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13895</w:t>
            </w:r>
          </w:p>
        </w:tc>
        <w:tc>
          <w:tcPr>
            <w:tcW w:w="12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13895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>
                <w:lang w:eastAsia="ar-SA"/>
              </w:rPr>
            </w:pPr>
            <w:r>
              <w:rPr>
                <w:lang w:eastAsia="ar-SA"/>
              </w:rPr>
              <w:t>В т.ч. площадь земельного участка по этапам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>
                <w:vertAlign w:val="superscript"/>
                <w:lang w:eastAsia="ar-SA"/>
              </w:rPr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7430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6465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13895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Площадь застройки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2008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2133,63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4141,63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Общая площадь здания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14982,15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16303,13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31285,28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Общая жилая площадь (при наличии)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11395,28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9995,49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21390,77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>
                <w:lang w:eastAsia="ar-SA"/>
              </w:rPr>
            </w:pPr>
            <w:r>
              <w:rPr>
                <w:lang w:eastAsia="ar-SA"/>
              </w:rPr>
              <w:t>Нежилая площадь:</w:t>
            </w:r>
          </w:p>
          <w:p>
            <w:pPr>
              <w:pStyle w:val="Normal"/>
              <w:suppressAutoHyphens w:val="true"/>
              <w:ind w:hanging="0"/>
              <w:rPr>
                <w:lang w:eastAsia="ar-SA"/>
              </w:rPr>
            </w:pPr>
            <w:r>
              <w:rPr>
                <w:lang w:eastAsia="ar-SA"/>
              </w:rPr>
              <w:t>встроенно-пристроенных нежилых помещений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2009,01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2009,01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>
                <w:lang w:eastAsia="ar-SA"/>
              </w:rPr>
            </w:pPr>
            <w:r>
              <w:rPr>
                <w:lang w:eastAsia="ar-SA"/>
              </w:rPr>
              <w:t>Строительный объем, в т.ч.</w:t>
            </w:r>
          </w:p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подземной части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>
                <w:vertAlign w:val="superscript"/>
              </w:rPr>
            </w:pPr>
            <w:r>
              <w:rPr>
                <w:lang w:eastAsia="ar-SA"/>
              </w:rPr>
              <w:t>м</w:t>
            </w:r>
            <w:r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58702</w:t>
            </w:r>
          </w:p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4132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48318,19</w:t>
            </w:r>
          </w:p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5655,65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107020,19</w:t>
            </w:r>
          </w:p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9787,65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Кол-во этажей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>
                <w:lang w:eastAsia="ar-SA"/>
              </w:rPr>
              <w:t>этаж</w:t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10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 xml:space="preserve">10-17-жилые, </w:t>
            </w:r>
          </w:p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3-нежилое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</w:r>
          </w:p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х</w:t>
            </w:r>
          </w:p>
        </w:tc>
      </w:tr>
      <w:tr>
        <w:trPr/>
        <w:tc>
          <w:tcPr>
            <w:tcW w:w="5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rPr/>
            </w:pPr>
            <w:r>
              <w:rPr>
                <w:lang w:eastAsia="ar-SA"/>
              </w:rPr>
              <w:t>Кол-во квартир (при наличии)</w:t>
            </w:r>
          </w:p>
        </w:tc>
        <w:tc>
          <w:tcPr>
            <w:tcW w:w="11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</w:r>
          </w:p>
        </w:tc>
        <w:tc>
          <w:tcPr>
            <w:tcW w:w="1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188</w:t>
            </w:r>
          </w:p>
        </w:tc>
        <w:tc>
          <w:tcPr>
            <w:tcW w:w="1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164</w:t>
            </w:r>
          </w:p>
        </w:tc>
        <w:tc>
          <w:tcPr>
            <w:tcW w:w="1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ind w:hanging="0"/>
              <w:jc w:val="center"/>
              <w:rPr/>
            </w:pPr>
            <w:r>
              <w:rPr/>
              <w:t>352</w:t>
            </w:r>
          </w:p>
        </w:tc>
      </w:tr>
    </w:tbl>
    <w:p>
      <w:pPr>
        <w:pStyle w:val="Normal"/>
        <w:widowControl/>
        <w:ind w:hanging="0"/>
        <w:rPr>
          <w:rFonts w:eastAsia="Times New Roman"/>
          <w:b/>
          <w:b/>
          <w:color w:val="000000" w:themeColor="text1"/>
          <w:highlight w:val="yellow"/>
        </w:rPr>
      </w:pPr>
      <w:r>
        <w:rPr>
          <w:rFonts w:eastAsia="Times New Roman"/>
          <w:b/>
          <w:color w:val="000000" w:themeColor="text1"/>
          <w:highlight w:val="yellow"/>
        </w:rPr>
      </w:r>
    </w:p>
    <w:p>
      <w:pPr>
        <w:pStyle w:val="Normal"/>
        <w:widowControl/>
        <w:ind w:left="-567" w:right="141" w:firstLine="709"/>
        <w:jc w:val="center"/>
        <w:rPr>
          <w:rFonts w:eastAsia="Times New Roman"/>
          <w:b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</w:p>
    <w:p>
      <w:pPr>
        <w:pStyle w:val="Normal"/>
        <w:widowControl/>
        <w:ind w:left="-567" w:right="141" w:firstLine="709"/>
        <w:jc w:val="center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45225" cy="19291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382270</wp:posOffset>
            </wp:positionH>
            <wp:positionV relativeFrom="paragraph">
              <wp:posOffset>32385</wp:posOffset>
            </wp:positionV>
            <wp:extent cx="6653530" cy="915860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15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p>
      <w:pPr>
        <w:pStyle w:val="Normal"/>
        <w:widowControl/>
        <w:ind w:left="-567" w:right="141" w:hanging="0"/>
        <w:jc w:val="center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50685" cy="929195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ind w:left="-567" w:right="141" w:firstLine="709"/>
        <w:jc w:val="center"/>
        <w:rPr/>
      </w:pPr>
      <w:r>
        <w:rPr/>
      </w:r>
    </w:p>
    <w:sectPr>
      <w:footerReference w:type="default" r:id="rId6"/>
      <w:type w:val="nextPage"/>
      <w:pgSz w:w="11906" w:h="16838"/>
      <w:pgMar w:left="1134" w:right="567" w:header="0" w:top="567" w:footer="708" w:bottom="1134" w:gutter="0"/>
      <w:pgNumType w:fmt="decimal"/>
      <w:formProt w:val="false"/>
      <w:titlePg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Consolas">
    <w:charset w:val="cc"/>
    <w:family w:val="roman"/>
    <w:pitch w:val="variable"/>
  </w:font>
  <w:font w:name="Batang">
    <w:altName w:val="바탕"/>
    <w:charset w:val="cc"/>
    <w:family w:val="roman"/>
    <w:pitch w:val="variable"/>
  </w:font>
  <w:font w:name="Cambria">
    <w:charset w:val="cc"/>
    <w:family w:val="roman"/>
    <w:pitch w:val="variable"/>
  </w:font>
  <w:font w:name="Sylfaen">
    <w:charset w:val="cc"/>
    <w:family w:val="roman"/>
    <w:pitch w:val="variable"/>
  </w:font>
  <w:font w:name="Verdana">
    <w:charset w:val="cc"/>
    <w:family w:val="roman"/>
    <w:pitch w:val="variable"/>
  </w:font>
  <w:font w:name="Arial Narrow">
    <w:charset w:val="cc"/>
    <w:family w:val="roman"/>
    <w:pitch w:val="variable"/>
  </w:font>
  <w:font w:name="GOST type A">
    <w:charset w:val="cc"/>
    <w:family w:val="roman"/>
    <w:pitch w:val="variable"/>
  </w:font>
  <w:font w:name="NTHelvetica/Cyrillic">
    <w:charset w:val="cc"/>
    <w:family w:val="roman"/>
    <w:pitch w:val="variable"/>
  </w:font>
  <w:font w:name="ГОСТ тип А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77175970"/>
    </w:sdtPr>
    <w:sdtContent>
      <w:p>
        <w:pPr>
          <w:pStyle w:val="Style35"/>
          <w:jc w:val="center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15</w:t>
        </w:r>
        <w:r>
          <w:fldChar w:fldCharType="end"/>
        </w:r>
      </w:p>
    </w:sdtContent>
  </w:sdt>
  <w:p>
    <w:pPr>
      <w:pStyle w:val="Style35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mirrorMargins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itle" w:uiPriority="0" w:semiHidden="0" w:unhideWhenUsed="0" w:qFormat="1"/>
    <w:lsdException w:name="Default Paragraph Font" w:uiPriority="1"/>
    <w:lsdException w:name="Subtitle" w:uiPriority="0" w:semiHidden="0" w:unhideWhenUsed="0" w:qFormat="1"/>
    <w:lsdException w:name="Strong" w:uiPriority="22" w:semiHidden="0" w:unhideWhenUsed="0" w:qFormat="1"/>
    <w:lsdException w:name="Emphasis" w:uiPriority="0" w:semiHidden="0" w:unhideWhenUsed="0" w:qFormat="1"/>
    <w:lsdException w:name="Document Map" w:uiPriority="0"/>
    <w:lsdException w:name="Plain Text" w:uiPriority="0" w:qFormat="1"/>
    <w:lsdException w:name="Normal (Web)" w:uiPriority="34" w:qFormat="1"/>
    <w:lsdException w:name="annotation subject" w:uiPriority="0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50d6b"/>
    <w:pPr>
      <w:widowControl w:val="false"/>
      <w:bidi w:val="0"/>
      <w:ind w:firstLine="720"/>
      <w:jc w:val="left"/>
    </w:pPr>
    <w:rPr>
      <w:rFonts w:ascii="Times New Roman" w:hAnsi="Times New Roman" w:eastAsia="Calibri" w:cs="Times New Roman"/>
      <w:color w:val="auto"/>
      <w:sz w:val="24"/>
      <w:szCs w:val="24"/>
      <w:lang w:val="ru-RU" w:eastAsia="ru-RU" w:bidi="ar-SA"/>
    </w:rPr>
  </w:style>
  <w:style w:type="paragraph" w:styleId="1">
    <w:name w:val="Heading 1"/>
    <w:basedOn w:val="Normal"/>
    <w:link w:val="10"/>
    <w:qFormat/>
    <w:rsid w:val="00e87d6a"/>
    <w:pPr>
      <w:keepNext/>
      <w:widowControl/>
      <w:outlineLvl w:val="0"/>
    </w:pPr>
    <w:rPr>
      <w:rFonts w:eastAsia="Times New Roman"/>
      <w:b/>
      <w:sz w:val="28"/>
    </w:rPr>
  </w:style>
  <w:style w:type="paragraph" w:styleId="2">
    <w:name w:val="Heading 2"/>
    <w:basedOn w:val="Normal"/>
    <w:link w:val="21"/>
    <w:qFormat/>
    <w:rsid w:val="00e87d6a"/>
    <w:pPr>
      <w:keepNext/>
      <w:spacing w:before="240" w:after="60"/>
      <w:ind w:hanging="0"/>
      <w:jc w:val="left"/>
      <w:outlineLvl w:val="1"/>
    </w:pPr>
    <w:rPr>
      <w:rFonts w:ascii="Arial" w:hAnsi="Arial" w:eastAsia="Times New Roman" w:cs="Arial"/>
      <w:b/>
      <w:bCs/>
      <w:i/>
      <w:iCs/>
      <w:sz w:val="28"/>
      <w:szCs w:val="28"/>
    </w:rPr>
  </w:style>
  <w:style w:type="paragraph" w:styleId="3">
    <w:name w:val="Heading 3"/>
    <w:basedOn w:val="Normal"/>
    <w:link w:val="30"/>
    <w:qFormat/>
    <w:rsid w:val="00e87d6a"/>
    <w:pPr>
      <w:keepNext/>
      <w:spacing w:before="240" w:after="60"/>
      <w:ind w:hanging="0"/>
      <w:jc w:val="left"/>
      <w:outlineLvl w:val="2"/>
    </w:pPr>
    <w:rPr>
      <w:rFonts w:ascii="Arial" w:hAnsi="Arial" w:eastAsia="Times New Roman" w:cs="Arial"/>
      <w:b/>
      <w:bCs/>
      <w:sz w:val="26"/>
      <w:szCs w:val="26"/>
    </w:rPr>
  </w:style>
  <w:style w:type="paragraph" w:styleId="4">
    <w:name w:val="Heading 4"/>
    <w:basedOn w:val="Normal"/>
    <w:link w:val="40"/>
    <w:uiPriority w:val="9"/>
    <w:qFormat/>
    <w:rsid w:val="00e87d6a"/>
    <w:pPr>
      <w:keepNext/>
      <w:spacing w:before="240" w:after="60"/>
      <w:ind w:hanging="0"/>
      <w:jc w:val="left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Normal"/>
    <w:link w:val="50"/>
    <w:qFormat/>
    <w:rsid w:val="00e87d6a"/>
    <w:pPr>
      <w:spacing w:before="240" w:after="60"/>
      <w:ind w:hanging="0"/>
      <w:jc w:val="left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Normal"/>
    <w:link w:val="60"/>
    <w:qFormat/>
    <w:rsid w:val="00e87d6a"/>
    <w:pPr>
      <w:spacing w:before="240" w:after="60"/>
      <w:outlineLvl w:val="5"/>
    </w:pPr>
    <w:rPr>
      <w:rFonts w:ascii="Calibri" w:hAnsi="Calibri" w:eastAsia="Times New Roman"/>
      <w:b/>
      <w:bCs/>
      <w:sz w:val="22"/>
      <w:szCs w:val="22"/>
    </w:rPr>
  </w:style>
  <w:style w:type="paragraph" w:styleId="7">
    <w:name w:val="Heading 7"/>
    <w:basedOn w:val="Normal"/>
    <w:link w:val="70"/>
    <w:qFormat/>
    <w:rsid w:val="00e87d6a"/>
    <w:pPr>
      <w:spacing w:before="240" w:after="60"/>
      <w:ind w:hanging="0"/>
      <w:jc w:val="left"/>
      <w:outlineLvl w:val="6"/>
    </w:pPr>
    <w:rPr>
      <w:rFonts w:eastAsia="Times New Roman"/>
    </w:rPr>
  </w:style>
  <w:style w:type="paragraph" w:styleId="8">
    <w:name w:val="Heading 8"/>
    <w:basedOn w:val="Normal"/>
    <w:link w:val="80"/>
    <w:uiPriority w:val="9"/>
    <w:qFormat/>
    <w:rsid w:val="00e87d6a"/>
    <w:pPr>
      <w:spacing w:before="240" w:after="60"/>
      <w:ind w:hanging="0"/>
      <w:jc w:val="left"/>
      <w:outlineLvl w:val="7"/>
    </w:pPr>
    <w:rPr>
      <w:rFonts w:eastAsia="Times New Roman"/>
      <w:i/>
      <w:iCs/>
    </w:rPr>
  </w:style>
  <w:style w:type="paragraph" w:styleId="9">
    <w:name w:val="Heading 9"/>
    <w:basedOn w:val="Normal"/>
    <w:link w:val="90"/>
    <w:qFormat/>
    <w:rsid w:val="00e87d6a"/>
    <w:pPr>
      <w:keepNext/>
      <w:widowControl/>
      <w:ind w:hanging="0"/>
      <w:jc w:val="left"/>
      <w:outlineLvl w:val="8"/>
    </w:pPr>
    <w:rPr>
      <w:rFonts w:eastAsia="Times New Roman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link w:val="1"/>
    <w:qFormat/>
    <w:rsid w:val="00e87d6a"/>
    <w:rPr>
      <w:rFonts w:ascii="Times New Roman" w:hAnsi="Times New Roman" w:eastAsia="Times New Roman" w:cs="Times New Roman"/>
      <w:b/>
      <w:sz w:val="28"/>
      <w:szCs w:val="24"/>
      <w:lang w:eastAsia="ru-RU"/>
    </w:rPr>
  </w:style>
  <w:style w:type="character" w:styleId="21" w:customStyle="1">
    <w:name w:val="Заголовок 2 Знак"/>
    <w:link w:val="20"/>
    <w:qFormat/>
    <w:rsid w:val="00e87d6a"/>
    <w:rPr>
      <w:rFonts w:ascii="Arial" w:hAnsi="Arial" w:eastAsia="Times New Roman" w:cs="Arial"/>
      <w:b/>
      <w:bCs/>
      <w:i/>
      <w:iCs/>
      <w:sz w:val="28"/>
      <w:szCs w:val="28"/>
    </w:rPr>
  </w:style>
  <w:style w:type="character" w:styleId="31" w:customStyle="1">
    <w:name w:val="Заголовок 3 Знак"/>
    <w:link w:val="3"/>
    <w:qFormat/>
    <w:rsid w:val="00e87d6a"/>
    <w:rPr>
      <w:rFonts w:ascii="Arial" w:hAnsi="Arial" w:eastAsia="Times New Roman" w:cs="Arial"/>
      <w:b/>
      <w:bCs/>
      <w:sz w:val="26"/>
      <w:szCs w:val="26"/>
    </w:rPr>
  </w:style>
  <w:style w:type="character" w:styleId="41" w:customStyle="1">
    <w:name w:val="Заголовок 4 Знак"/>
    <w:link w:val="4"/>
    <w:uiPriority w:val="9"/>
    <w:qFormat/>
    <w:rsid w:val="00e87d6a"/>
    <w:rPr>
      <w:rFonts w:ascii="Times New Roman" w:hAnsi="Times New Roman" w:eastAsia="Times New Roman"/>
      <w:b/>
      <w:bCs/>
      <w:sz w:val="28"/>
      <w:szCs w:val="28"/>
    </w:rPr>
  </w:style>
  <w:style w:type="character" w:styleId="51" w:customStyle="1">
    <w:name w:val="Заголовок 5 Знак"/>
    <w:link w:val="5"/>
    <w:qFormat/>
    <w:rsid w:val="00e87d6a"/>
    <w:rPr>
      <w:rFonts w:ascii="Times New Roman" w:hAnsi="Times New Roman" w:eastAsia="Times New Roman"/>
      <w:b/>
      <w:bCs/>
      <w:i/>
      <w:iCs/>
      <w:sz w:val="26"/>
      <w:szCs w:val="26"/>
    </w:rPr>
  </w:style>
  <w:style w:type="character" w:styleId="61" w:customStyle="1">
    <w:name w:val="Заголовок 6 Знак"/>
    <w:link w:val="6"/>
    <w:qFormat/>
    <w:rsid w:val="00e87d6a"/>
    <w:rPr>
      <w:rFonts w:ascii="Calibri" w:hAnsi="Calibri" w:eastAsia="Times New Roman" w:cs="Times New Roman"/>
      <w:b/>
      <w:bCs/>
      <w:sz w:val="22"/>
      <w:szCs w:val="22"/>
    </w:rPr>
  </w:style>
  <w:style w:type="character" w:styleId="71" w:customStyle="1">
    <w:name w:val="Заголовок 7 Знак"/>
    <w:link w:val="7"/>
    <w:qFormat/>
    <w:rsid w:val="00e87d6a"/>
    <w:rPr>
      <w:rFonts w:ascii="Times New Roman" w:hAnsi="Times New Roman" w:eastAsia="Times New Roman"/>
      <w:sz w:val="24"/>
      <w:szCs w:val="24"/>
    </w:rPr>
  </w:style>
  <w:style w:type="character" w:styleId="81" w:customStyle="1">
    <w:name w:val="Заголовок 8 Знак"/>
    <w:link w:val="8"/>
    <w:uiPriority w:val="9"/>
    <w:qFormat/>
    <w:rsid w:val="00e87d6a"/>
    <w:rPr>
      <w:rFonts w:ascii="Times New Roman" w:hAnsi="Times New Roman" w:eastAsia="Times New Roman"/>
      <w:i/>
      <w:iCs/>
      <w:sz w:val="24"/>
      <w:szCs w:val="24"/>
    </w:rPr>
  </w:style>
  <w:style w:type="character" w:styleId="91" w:customStyle="1">
    <w:name w:val="Заголовок 9 Знак"/>
    <w:link w:val="9"/>
    <w:qFormat/>
    <w:rsid w:val="00e87d6a"/>
    <w:rPr>
      <w:rFonts w:ascii="Times New Roman" w:hAnsi="Times New Roman" w:eastAsia="Times New Roman"/>
      <w:sz w:val="24"/>
    </w:rPr>
  </w:style>
  <w:style w:type="character" w:styleId="Style5" w:customStyle="1">
    <w:name w:val="Название Знак"/>
    <w:link w:val="a5"/>
    <w:qFormat/>
    <w:rsid w:val="00e87d6a"/>
    <w:rPr>
      <w:rFonts w:ascii="Times New Roman" w:hAnsi="Times New Roman" w:eastAsia="Times New Roman"/>
      <w:b/>
      <w:bCs/>
      <w:sz w:val="28"/>
      <w:szCs w:val="24"/>
    </w:rPr>
  </w:style>
  <w:style w:type="character" w:styleId="Style6" w:customStyle="1">
    <w:name w:val="Подзаголовок Знак"/>
    <w:link w:val="a7"/>
    <w:qFormat/>
    <w:rsid w:val="00e87d6a"/>
    <w:rPr>
      <w:rFonts w:ascii="Times New Roman" w:hAnsi="Times New Roman" w:eastAsia="Times New Roman"/>
      <w:sz w:val="24"/>
    </w:rPr>
  </w:style>
  <w:style w:type="character" w:styleId="Strong">
    <w:name w:val="Strong"/>
    <w:uiPriority w:val="22"/>
    <w:qFormat/>
    <w:rsid w:val="00e87d6a"/>
    <w:rPr>
      <w:b/>
      <w:bCs/>
    </w:rPr>
  </w:style>
  <w:style w:type="character" w:styleId="Style7">
    <w:name w:val="Выделение"/>
    <w:qFormat/>
    <w:rsid w:val="00e87d6a"/>
    <w:rPr>
      <w:i/>
      <w:iCs/>
    </w:rPr>
  </w:style>
  <w:style w:type="character" w:styleId="Style8" w:customStyle="1">
    <w:name w:val="Абзац списка Знак"/>
    <w:link w:val="ac"/>
    <w:uiPriority w:val="34"/>
    <w:qFormat/>
    <w:locked/>
    <w:rsid w:val="00e87d6a"/>
    <w:rPr>
      <w:rFonts w:ascii="Times New Roman" w:hAnsi="Times New Roman" w:eastAsia="Times New Roman"/>
      <w:sz w:val="24"/>
      <w:szCs w:val="24"/>
    </w:rPr>
  </w:style>
  <w:style w:type="character" w:styleId="SubtleEmphasis">
    <w:name w:val="Subtle Emphasis"/>
    <w:uiPriority w:val="19"/>
    <w:qFormat/>
    <w:rsid w:val="00e87d6a"/>
    <w:rPr>
      <w:i/>
      <w:iCs/>
      <w:color w:val="808080"/>
    </w:rPr>
  </w:style>
  <w:style w:type="character" w:styleId="12" w:customStyle="1">
    <w:name w:val="Стиль1 Знак"/>
    <w:link w:val="11"/>
    <w:qFormat/>
    <w:rsid w:val="00e87d6a"/>
    <w:rPr>
      <w:rFonts w:ascii="Times New Roman" w:hAnsi="Times New Roman" w:eastAsia="Times New Roman"/>
      <w:sz w:val="24"/>
      <w:szCs w:val="24"/>
    </w:rPr>
  </w:style>
  <w:style w:type="character" w:styleId="Style9">
    <w:name w:val="Интернет-ссылка"/>
    <w:uiPriority w:val="99"/>
    <w:unhideWhenUsed/>
    <w:rsid w:val="009644a8"/>
    <w:rPr>
      <w:color w:val="0000FF"/>
      <w:u w:val="single"/>
    </w:rPr>
  </w:style>
  <w:style w:type="character" w:styleId="Style10" w:customStyle="1">
    <w:name w:val="Текст сноски Знак"/>
    <w:basedOn w:val="DefaultParagraphFont"/>
    <w:link w:val="af2"/>
    <w:semiHidden/>
    <w:qFormat/>
    <w:locked/>
    <w:rsid w:val="009644a8"/>
    <w:rPr>
      <w:rFonts w:ascii="Times New Roman" w:hAnsi="Times New Roman" w:eastAsia="Times New Roman"/>
    </w:rPr>
  </w:style>
  <w:style w:type="character" w:styleId="Style11" w:customStyle="1">
    <w:name w:val="Текст примечания Знак"/>
    <w:link w:val="af4"/>
    <w:semiHidden/>
    <w:qFormat/>
    <w:locked/>
    <w:rsid w:val="009644a8"/>
    <w:rPr>
      <w:rFonts w:ascii="Times New Roman" w:hAnsi="Times New Roman" w:eastAsia="Times New Roman"/>
    </w:rPr>
  </w:style>
  <w:style w:type="character" w:styleId="Style12" w:customStyle="1">
    <w:name w:val="Верхний колонтитул Знак"/>
    <w:basedOn w:val="DefaultParagraphFont"/>
    <w:link w:val="af6"/>
    <w:uiPriority w:val="99"/>
    <w:semiHidden/>
    <w:qFormat/>
    <w:locked/>
    <w:rsid w:val="009644a8"/>
    <w:rPr>
      <w:rFonts w:ascii="Times New Roman" w:hAnsi="Times New Roman"/>
      <w:sz w:val="24"/>
      <w:szCs w:val="24"/>
    </w:rPr>
  </w:style>
  <w:style w:type="character" w:styleId="Style13" w:customStyle="1">
    <w:name w:val="Нижний колонтитул Знак"/>
    <w:basedOn w:val="DefaultParagraphFont"/>
    <w:link w:val="af8"/>
    <w:uiPriority w:val="99"/>
    <w:qFormat/>
    <w:locked/>
    <w:rsid w:val="009644a8"/>
    <w:rPr>
      <w:rFonts w:ascii="Times New Roman" w:hAnsi="Times New Roman"/>
      <w:sz w:val="24"/>
      <w:szCs w:val="24"/>
    </w:rPr>
  </w:style>
  <w:style w:type="character" w:styleId="Style14" w:customStyle="1">
    <w:name w:val="Основной текст Знак"/>
    <w:basedOn w:val="DefaultParagraphFont"/>
    <w:link w:val="afa"/>
    <w:uiPriority w:val="99"/>
    <w:semiHidden/>
    <w:qFormat/>
    <w:locked/>
    <w:rsid w:val="009644a8"/>
    <w:rPr>
      <w:rFonts w:ascii="Times New Roman" w:hAnsi="Times New Roman" w:eastAsia="Times New Roman"/>
      <w:sz w:val="24"/>
      <w:szCs w:val="24"/>
    </w:rPr>
  </w:style>
  <w:style w:type="character" w:styleId="Style15" w:customStyle="1">
    <w:name w:val="Основной текст с отступом Знак"/>
    <w:basedOn w:val="DefaultParagraphFont"/>
    <w:link w:val="afc"/>
    <w:uiPriority w:val="99"/>
    <w:semiHidden/>
    <w:qFormat/>
    <w:locked/>
    <w:rsid w:val="009644a8"/>
    <w:rPr>
      <w:rFonts w:ascii="Times New Roman" w:hAnsi="Times New Roman"/>
      <w:sz w:val="24"/>
      <w:szCs w:val="24"/>
    </w:rPr>
  </w:style>
  <w:style w:type="character" w:styleId="22" w:customStyle="1">
    <w:name w:val="Основной текст 2 Знак"/>
    <w:basedOn w:val="DefaultParagraphFont"/>
    <w:link w:val="23"/>
    <w:uiPriority w:val="99"/>
    <w:qFormat/>
    <w:locked/>
    <w:rsid w:val="009644a8"/>
    <w:rPr>
      <w:rFonts w:ascii="Times New Roman" w:hAnsi="Times New Roman" w:eastAsia="Times New Roman"/>
      <w:sz w:val="24"/>
      <w:szCs w:val="24"/>
    </w:rPr>
  </w:style>
  <w:style w:type="character" w:styleId="32" w:customStyle="1">
    <w:name w:val="Основной текст 3 Знак"/>
    <w:basedOn w:val="DefaultParagraphFont"/>
    <w:link w:val="32"/>
    <w:uiPriority w:val="99"/>
    <w:qFormat/>
    <w:locked/>
    <w:rsid w:val="009644a8"/>
    <w:rPr>
      <w:rFonts w:ascii="Times New Roman" w:hAnsi="Times New Roman" w:eastAsia="Times New Roman"/>
      <w:sz w:val="24"/>
      <w:szCs w:val="24"/>
    </w:rPr>
  </w:style>
  <w:style w:type="character" w:styleId="23" w:customStyle="1">
    <w:name w:val="Основной текст с отступом 2 Знак"/>
    <w:basedOn w:val="DefaultParagraphFont"/>
    <w:link w:val="25"/>
    <w:uiPriority w:val="99"/>
    <w:semiHidden/>
    <w:qFormat/>
    <w:locked/>
    <w:rsid w:val="009644a8"/>
    <w:rPr>
      <w:rFonts w:ascii="Times New Roman" w:hAnsi="Times New Roman" w:eastAsia="Times New Roman"/>
      <w:sz w:val="24"/>
      <w:szCs w:val="24"/>
    </w:rPr>
  </w:style>
  <w:style w:type="character" w:styleId="33" w:customStyle="1">
    <w:name w:val="Основной текст с отступом 3 Знак"/>
    <w:basedOn w:val="DefaultParagraphFont"/>
    <w:link w:val="34"/>
    <w:uiPriority w:val="99"/>
    <w:semiHidden/>
    <w:qFormat/>
    <w:locked/>
    <w:rsid w:val="009644a8"/>
    <w:rPr>
      <w:rFonts w:ascii="Times New Roman" w:hAnsi="Times New Roman" w:eastAsia="Times New Roman"/>
      <w:sz w:val="24"/>
      <w:szCs w:val="24"/>
    </w:rPr>
  </w:style>
  <w:style w:type="character" w:styleId="Style16" w:customStyle="1">
    <w:name w:val="Схема документа Знак"/>
    <w:link w:val="afe"/>
    <w:semiHidden/>
    <w:qFormat/>
    <w:locked/>
    <w:rsid w:val="009644a8"/>
    <w:rPr>
      <w:rFonts w:ascii="Tahoma" w:hAnsi="Tahoma" w:eastAsia="Times New Roman" w:cs="Tahoma"/>
    </w:rPr>
  </w:style>
  <w:style w:type="character" w:styleId="Style17" w:customStyle="1">
    <w:name w:val="Текст Знак"/>
    <w:basedOn w:val="DefaultParagraphFont"/>
    <w:link w:val="aff0"/>
    <w:semiHidden/>
    <w:qFormat/>
    <w:locked/>
    <w:rsid w:val="009644a8"/>
    <w:rPr>
      <w:rFonts w:ascii="Courier New" w:hAnsi="Courier New" w:eastAsia="Times New Roman" w:cs="Courier New"/>
    </w:rPr>
  </w:style>
  <w:style w:type="character" w:styleId="13" w:customStyle="1">
    <w:name w:val="Текст Знак1"/>
    <w:basedOn w:val="DefaultParagraphFont"/>
    <w:semiHidden/>
    <w:qFormat/>
    <w:rsid w:val="009644a8"/>
    <w:rPr>
      <w:rFonts w:ascii="Consolas" w:hAnsi="Consolas"/>
      <w:sz w:val="21"/>
      <w:szCs w:val="21"/>
    </w:rPr>
  </w:style>
  <w:style w:type="character" w:styleId="14" w:customStyle="1">
    <w:name w:val="Текст примечания Знак1"/>
    <w:basedOn w:val="DefaultParagraphFont"/>
    <w:uiPriority w:val="99"/>
    <w:semiHidden/>
    <w:qFormat/>
    <w:rsid w:val="009644a8"/>
    <w:rPr>
      <w:rFonts w:ascii="Times New Roman" w:hAnsi="Times New Roman"/>
    </w:rPr>
  </w:style>
  <w:style w:type="character" w:styleId="Style18" w:customStyle="1">
    <w:name w:val="Тема примечания Знак"/>
    <w:link w:val="aff2"/>
    <w:semiHidden/>
    <w:qFormat/>
    <w:locked/>
    <w:rsid w:val="009644a8"/>
    <w:rPr>
      <w:rFonts w:ascii="Times New Roman" w:hAnsi="Times New Roman" w:eastAsia="Times New Roman"/>
      <w:b/>
      <w:bCs/>
    </w:rPr>
  </w:style>
  <w:style w:type="character" w:styleId="Style19" w:customStyle="1">
    <w:name w:val="Текст выноски Знак"/>
    <w:basedOn w:val="DefaultParagraphFont"/>
    <w:link w:val="aff4"/>
    <w:uiPriority w:val="99"/>
    <w:semiHidden/>
    <w:qFormat/>
    <w:locked/>
    <w:rsid w:val="009644a8"/>
    <w:rPr>
      <w:rFonts w:ascii="Tahoma" w:hAnsi="Tahoma" w:cs="Tahoma"/>
      <w:sz w:val="16"/>
      <w:szCs w:val="16"/>
    </w:rPr>
  </w:style>
  <w:style w:type="character" w:styleId="15" w:customStyle="1">
    <w:name w:val="Обычный (веб) Знак1"/>
    <w:uiPriority w:val="34"/>
    <w:qFormat/>
    <w:locked/>
    <w:rsid w:val="009644a8"/>
    <w:rPr>
      <w:rFonts w:ascii="Times New Roman" w:hAnsi="Times New Roman" w:eastAsia="Times New Roman"/>
      <w:sz w:val="24"/>
      <w:szCs w:val="24"/>
    </w:rPr>
  </w:style>
  <w:style w:type="character" w:styleId="24" w:customStyle="1">
    <w:name w:val="Основной текст (2)_"/>
    <w:link w:val="29"/>
    <w:qFormat/>
    <w:locked/>
    <w:rsid w:val="009644a8"/>
    <w:rPr>
      <w:rFonts w:ascii="Tahoma" w:hAnsi="Tahoma" w:eastAsia="Tahoma" w:cs="Tahoma"/>
      <w:sz w:val="33"/>
      <w:szCs w:val="33"/>
      <w:shd w:fill="FFFFFF" w:val="clear"/>
    </w:rPr>
  </w:style>
  <w:style w:type="character" w:styleId="Style20" w:customStyle="1">
    <w:name w:val="Основной текст_"/>
    <w:link w:val="2a"/>
    <w:qFormat/>
    <w:locked/>
    <w:rsid w:val="009644a8"/>
    <w:rPr>
      <w:rFonts w:ascii="Times New Roman" w:hAnsi="Times New Roman" w:eastAsia="Times New Roman"/>
      <w:spacing w:val="4"/>
      <w:sz w:val="21"/>
      <w:szCs w:val="21"/>
      <w:shd w:fill="FFFFFF" w:val="clear"/>
    </w:rPr>
  </w:style>
  <w:style w:type="character" w:styleId="18Exact" w:customStyle="1">
    <w:name w:val="Основной текст (18) Exact"/>
    <w:link w:val="18"/>
    <w:qFormat/>
    <w:locked/>
    <w:rsid w:val="009644a8"/>
    <w:rPr>
      <w:rFonts w:ascii="Batang" w:hAnsi="Batang" w:eastAsia="Batang" w:cs="Batang"/>
      <w:spacing w:val="5"/>
      <w:sz w:val="10"/>
      <w:szCs w:val="10"/>
      <w:shd w:fill="FFFFFF" w:val="clear"/>
    </w:rPr>
  </w:style>
  <w:style w:type="character" w:styleId="62" w:customStyle="1">
    <w:name w:val="Заголовок №6_"/>
    <w:link w:val="62"/>
    <w:qFormat/>
    <w:locked/>
    <w:rsid w:val="009644a8"/>
    <w:rPr>
      <w:sz w:val="32"/>
      <w:szCs w:val="32"/>
      <w:shd w:fill="FFFFFF" w:val="clear"/>
    </w:rPr>
  </w:style>
  <w:style w:type="character" w:styleId="73" w:customStyle="1">
    <w:name w:val="Заголовок №7 (3)_"/>
    <w:link w:val="731"/>
    <w:qFormat/>
    <w:locked/>
    <w:rsid w:val="009644a8"/>
    <w:rPr>
      <w:i/>
      <w:iCs/>
      <w:sz w:val="28"/>
      <w:szCs w:val="28"/>
      <w:shd w:fill="FFFFFF" w:val="clear"/>
    </w:rPr>
  </w:style>
  <w:style w:type="character" w:styleId="16" w:customStyle="1">
    <w:name w:val="Основной текст (16)_"/>
    <w:link w:val="161"/>
    <w:qFormat/>
    <w:locked/>
    <w:rsid w:val="009644a8"/>
    <w:rPr>
      <w:rFonts w:ascii="Arial" w:hAnsi="Arial" w:cs="Arial"/>
      <w:sz w:val="16"/>
      <w:szCs w:val="16"/>
      <w:shd w:fill="FFFFFF" w:val="clear"/>
    </w:rPr>
  </w:style>
  <w:style w:type="character" w:styleId="621" w:customStyle="1">
    <w:name w:val="Заголовок №6 (2)_"/>
    <w:link w:val="621"/>
    <w:qFormat/>
    <w:locked/>
    <w:rsid w:val="009644a8"/>
    <w:rPr>
      <w:sz w:val="33"/>
      <w:szCs w:val="33"/>
      <w:shd w:fill="FFFFFF" w:val="clear"/>
    </w:rPr>
  </w:style>
  <w:style w:type="character" w:styleId="34" w:customStyle="1">
    <w:name w:val="Заголовок №3_"/>
    <w:link w:val="36"/>
    <w:qFormat/>
    <w:locked/>
    <w:rsid w:val="009644a8"/>
    <w:rPr>
      <w:sz w:val="28"/>
      <w:szCs w:val="28"/>
      <w:shd w:fill="FFFFFF" w:val="clear"/>
    </w:rPr>
  </w:style>
  <w:style w:type="character" w:styleId="72" w:customStyle="1">
    <w:name w:val="Заголовок №7_"/>
    <w:link w:val="74"/>
    <w:qFormat/>
    <w:locked/>
    <w:rsid w:val="009644a8"/>
    <w:rPr>
      <w:sz w:val="28"/>
      <w:szCs w:val="28"/>
      <w:shd w:fill="FFFFFF" w:val="clear"/>
    </w:rPr>
  </w:style>
  <w:style w:type="character" w:styleId="Style21" w:customStyle="1">
    <w:name w:val="ТЕКСТ ОСНОВНОЙ Знак"/>
    <w:link w:val="aff9"/>
    <w:qFormat/>
    <w:locked/>
    <w:rsid w:val="009644a8"/>
    <w:rPr>
      <w:rFonts w:ascii="Times New Roman" w:hAnsi="Times New Roman" w:eastAsia="Times New Roman"/>
      <w:sz w:val="24"/>
      <w:szCs w:val="24"/>
    </w:rPr>
  </w:style>
  <w:style w:type="character" w:styleId="17" w:customStyle="1">
    <w:name w:val="Название Знак1"/>
    <w:basedOn w:val="DefaultParagraphFont"/>
    <w:qFormat/>
    <w:rsid w:val="009644a8"/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sz w:val="52"/>
      <w:szCs w:val="52"/>
    </w:rPr>
  </w:style>
  <w:style w:type="character" w:styleId="18" w:customStyle="1">
    <w:name w:val="Подзаголовок Знак1"/>
    <w:basedOn w:val="DefaultParagraphFont"/>
    <w:uiPriority w:val="11"/>
    <w:qFormat/>
    <w:rsid w:val="009644a8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19" w:customStyle="1">
    <w:name w:val="Текст сноски Знак1"/>
    <w:basedOn w:val="DefaultParagraphFont"/>
    <w:semiHidden/>
    <w:qFormat/>
    <w:rsid w:val="009644a8"/>
    <w:rPr>
      <w:rFonts w:ascii="Times New Roman" w:hAnsi="Times New Roman"/>
    </w:rPr>
  </w:style>
  <w:style w:type="character" w:styleId="110" w:customStyle="1">
    <w:name w:val="Верхний колонтитул Знак1"/>
    <w:basedOn w:val="DefaultParagraphFont"/>
    <w:uiPriority w:val="99"/>
    <w:semiHidden/>
    <w:qFormat/>
    <w:rsid w:val="009644a8"/>
    <w:rPr>
      <w:rFonts w:ascii="Times New Roman" w:hAnsi="Times New Roman"/>
      <w:sz w:val="24"/>
      <w:szCs w:val="24"/>
    </w:rPr>
  </w:style>
  <w:style w:type="character" w:styleId="111" w:customStyle="1">
    <w:name w:val="Нижний колонтитул Знак1"/>
    <w:basedOn w:val="DefaultParagraphFont"/>
    <w:uiPriority w:val="99"/>
    <w:semiHidden/>
    <w:qFormat/>
    <w:rsid w:val="009644a8"/>
    <w:rPr>
      <w:rFonts w:ascii="Times New Roman" w:hAnsi="Times New Roman"/>
      <w:sz w:val="24"/>
      <w:szCs w:val="24"/>
    </w:rPr>
  </w:style>
  <w:style w:type="character" w:styleId="112" w:customStyle="1">
    <w:name w:val="Основной текст Знак1"/>
    <w:basedOn w:val="DefaultParagraphFont"/>
    <w:uiPriority w:val="99"/>
    <w:semiHidden/>
    <w:qFormat/>
    <w:rsid w:val="009644a8"/>
    <w:rPr>
      <w:rFonts w:ascii="Times New Roman" w:hAnsi="Times New Roman"/>
      <w:sz w:val="24"/>
      <w:szCs w:val="24"/>
    </w:rPr>
  </w:style>
  <w:style w:type="character" w:styleId="113" w:customStyle="1">
    <w:name w:val="Основной текст с отступом Знак1"/>
    <w:basedOn w:val="DefaultParagraphFont"/>
    <w:uiPriority w:val="99"/>
    <w:semiHidden/>
    <w:qFormat/>
    <w:rsid w:val="009644a8"/>
    <w:rPr>
      <w:rFonts w:ascii="Times New Roman" w:hAnsi="Times New Roman"/>
      <w:sz w:val="24"/>
      <w:szCs w:val="24"/>
    </w:rPr>
  </w:style>
  <w:style w:type="character" w:styleId="211" w:customStyle="1">
    <w:name w:val="Основной текст 2 Знак1"/>
    <w:basedOn w:val="DefaultParagraphFont"/>
    <w:uiPriority w:val="99"/>
    <w:semiHidden/>
    <w:qFormat/>
    <w:rsid w:val="009644a8"/>
    <w:rPr>
      <w:rFonts w:ascii="Times New Roman" w:hAnsi="Times New Roman"/>
      <w:sz w:val="24"/>
      <w:szCs w:val="24"/>
    </w:rPr>
  </w:style>
  <w:style w:type="character" w:styleId="311" w:customStyle="1">
    <w:name w:val="Основной текст 3 Знак1"/>
    <w:basedOn w:val="DefaultParagraphFont"/>
    <w:uiPriority w:val="99"/>
    <w:semiHidden/>
    <w:qFormat/>
    <w:rsid w:val="009644a8"/>
    <w:rPr>
      <w:rFonts w:ascii="Times New Roman" w:hAnsi="Times New Roman"/>
      <w:sz w:val="16"/>
      <w:szCs w:val="16"/>
    </w:rPr>
  </w:style>
  <w:style w:type="character" w:styleId="212" w:customStyle="1">
    <w:name w:val="Основной текст с отступом 2 Знак1"/>
    <w:basedOn w:val="DefaultParagraphFont"/>
    <w:uiPriority w:val="99"/>
    <w:semiHidden/>
    <w:qFormat/>
    <w:rsid w:val="009644a8"/>
    <w:rPr>
      <w:rFonts w:ascii="Times New Roman" w:hAnsi="Times New Roman"/>
      <w:sz w:val="24"/>
      <w:szCs w:val="24"/>
    </w:rPr>
  </w:style>
  <w:style w:type="character" w:styleId="312" w:customStyle="1">
    <w:name w:val="Основной текст с отступом 3 Знак1"/>
    <w:basedOn w:val="DefaultParagraphFont"/>
    <w:uiPriority w:val="99"/>
    <w:semiHidden/>
    <w:qFormat/>
    <w:rsid w:val="009644a8"/>
    <w:rPr>
      <w:rFonts w:ascii="Times New Roman" w:hAnsi="Times New Roman"/>
      <w:sz w:val="16"/>
      <w:szCs w:val="16"/>
    </w:rPr>
  </w:style>
  <w:style w:type="character" w:styleId="114" w:customStyle="1">
    <w:name w:val="Схема документа Знак1"/>
    <w:basedOn w:val="DefaultParagraphFont"/>
    <w:uiPriority w:val="99"/>
    <w:semiHidden/>
    <w:qFormat/>
    <w:rsid w:val="009644a8"/>
    <w:rPr>
      <w:rFonts w:ascii="Tahoma" w:hAnsi="Tahoma" w:cs="Tahoma"/>
      <w:sz w:val="16"/>
      <w:szCs w:val="16"/>
    </w:rPr>
  </w:style>
  <w:style w:type="character" w:styleId="115" w:customStyle="1">
    <w:name w:val="Тема примечания Знак1"/>
    <w:basedOn w:val="14"/>
    <w:uiPriority w:val="99"/>
    <w:semiHidden/>
    <w:qFormat/>
    <w:rsid w:val="009644a8"/>
    <w:rPr>
      <w:rFonts w:ascii="Times New Roman" w:hAnsi="Times New Roman"/>
      <w:b/>
      <w:bCs/>
    </w:rPr>
  </w:style>
  <w:style w:type="character" w:styleId="116" w:customStyle="1">
    <w:name w:val="Текст выноски Знак1"/>
    <w:basedOn w:val="DefaultParagraphFont"/>
    <w:uiPriority w:val="99"/>
    <w:semiHidden/>
    <w:qFormat/>
    <w:rsid w:val="009644a8"/>
    <w:rPr>
      <w:rFonts w:ascii="Tahoma" w:hAnsi="Tahoma" w:cs="Tahoma"/>
      <w:sz w:val="16"/>
      <w:szCs w:val="16"/>
    </w:rPr>
  </w:style>
  <w:style w:type="character" w:styleId="Style22" w:customStyle="1">
    <w:name w:val="Обычный (веб) Знак"/>
    <w:qFormat/>
    <w:locked/>
    <w:rsid w:val="009644a8"/>
    <w:rPr>
      <w:rFonts w:ascii="Times New Roman" w:hAnsi="Times New Roman" w:eastAsia="Times New Roman" w:cs="Times New Roman"/>
      <w:sz w:val="24"/>
      <w:szCs w:val="24"/>
    </w:rPr>
  </w:style>
  <w:style w:type="character" w:styleId="FontStyle11" w:customStyle="1">
    <w:name w:val="Font Style11"/>
    <w:qFormat/>
    <w:rsid w:val="009644a8"/>
    <w:rPr>
      <w:rFonts w:ascii="Times New Roman" w:hAnsi="Times New Roman" w:cs="Times New Roman"/>
      <w:b/>
      <w:bCs/>
      <w:sz w:val="20"/>
      <w:szCs w:val="20"/>
    </w:rPr>
  </w:style>
  <w:style w:type="character" w:styleId="FontStyle19" w:customStyle="1">
    <w:name w:val="Font Style19"/>
    <w:qFormat/>
    <w:rsid w:val="009644a8"/>
    <w:rPr>
      <w:rFonts w:ascii="Times New Roman" w:hAnsi="Times New Roman" w:cs="Times New Roman"/>
      <w:sz w:val="24"/>
      <w:szCs w:val="24"/>
    </w:rPr>
  </w:style>
  <w:style w:type="character" w:styleId="Appleconvertedspace" w:customStyle="1">
    <w:name w:val="apple-converted-space"/>
    <w:qFormat/>
    <w:rsid w:val="009644a8"/>
    <w:rPr/>
  </w:style>
  <w:style w:type="character" w:styleId="Match" w:customStyle="1">
    <w:name w:val="match"/>
    <w:qFormat/>
    <w:rsid w:val="009644a8"/>
    <w:rPr/>
  </w:style>
  <w:style w:type="character" w:styleId="Style23" w:customStyle="1">
    <w:name w:val="Основной текст + Полужирный"/>
    <w:qFormat/>
    <w:rsid w:val="009644a8"/>
    <w:rPr>
      <w:rFonts w:ascii="Times New Roman" w:hAnsi="Times New Roman" w:cs="Times New Roman"/>
      <w:b/>
      <w:bCs/>
      <w:spacing w:val="0"/>
      <w:sz w:val="28"/>
      <w:szCs w:val="28"/>
    </w:rPr>
  </w:style>
  <w:style w:type="character" w:styleId="Tahoma" w:customStyle="1">
    <w:name w:val="Основной текст + Tahoma"/>
    <w:qFormat/>
    <w:rsid w:val="009644a8"/>
    <w:rPr>
      <w:rFonts w:ascii="Sylfaen" w:hAnsi="Sylfaen" w:eastAsia="Sylfaen" w:cs="Sylfaen"/>
      <w:i w:val="false"/>
      <w:iCs w:val="false"/>
      <w:caps w:val="false"/>
      <w:smallCaps w:val="false"/>
      <w:color w:val="000000"/>
      <w:spacing w:val="0"/>
      <w:w w:val="100"/>
      <w:sz w:val="15"/>
      <w:szCs w:val="15"/>
      <w:effect w:val="none"/>
      <w:shd w:fill="FFFFFF" w:val="clear"/>
    </w:rPr>
  </w:style>
  <w:style w:type="character" w:styleId="117" w:customStyle="1">
    <w:name w:val="Основной текст1"/>
    <w:qFormat/>
    <w:rsid w:val="009644a8"/>
    <w:rPr>
      <w:rFonts w:ascii="Times New Roman" w:hAnsi="Times New Roman" w:eastAsia="Times New Roman" w:cs="Times New Roman"/>
      <w:i w:val="false"/>
      <w:iCs w:val="false"/>
      <w:caps w:val="false"/>
      <w:smallCaps w:val="false"/>
      <w:color w:val="000000"/>
      <w:spacing w:val="4"/>
      <w:w w:val="100"/>
      <w:sz w:val="21"/>
      <w:szCs w:val="21"/>
      <w:effect w:val="none"/>
      <w:shd w:fill="FFFFFF" w:val="clear"/>
      <w:lang w:val="ru-RU"/>
    </w:rPr>
  </w:style>
  <w:style w:type="character" w:styleId="Font1" w:customStyle="1">
    <w:name w:val="font1"/>
    <w:qFormat/>
    <w:rsid w:val="009644a8"/>
    <w:rPr>
      <w:rFonts w:ascii="Verdana" w:hAnsi="Verdana"/>
      <w:sz w:val="16"/>
      <w:szCs w:val="16"/>
    </w:rPr>
  </w:style>
  <w:style w:type="character" w:styleId="181" w:customStyle="1">
    <w:name w:val="Основной текст (18)_"/>
    <w:qFormat/>
    <w:rsid w:val="009644a8"/>
    <w:rPr>
      <w:b/>
      <w:bCs/>
      <w:sz w:val="28"/>
      <w:szCs w:val="28"/>
      <w:lang w:bidi="ar-SA"/>
    </w:rPr>
  </w:style>
  <w:style w:type="character" w:styleId="182" w:customStyle="1">
    <w:name w:val="Основной текст (18) + Не полужирный"/>
    <w:qFormat/>
    <w:rsid w:val="009644a8"/>
    <w:rPr>
      <w:rFonts w:ascii="Times New Roman" w:hAnsi="Times New Roman" w:cs="Times New Roman"/>
      <w:b/>
      <w:bCs/>
      <w:spacing w:val="0"/>
      <w:sz w:val="28"/>
      <w:szCs w:val="28"/>
      <w:lang w:bidi="ar-SA"/>
    </w:rPr>
  </w:style>
  <w:style w:type="character" w:styleId="52" w:customStyle="1">
    <w:name w:val="Основной текст + Полужирный5"/>
    <w:qFormat/>
    <w:rsid w:val="009644a8"/>
    <w:rPr>
      <w:rFonts w:ascii="Times New Roman" w:hAnsi="Times New Roman" w:cs="Times New Roman"/>
      <w:b/>
      <w:bCs/>
      <w:spacing w:val="0"/>
      <w:sz w:val="28"/>
      <w:szCs w:val="28"/>
    </w:rPr>
  </w:style>
  <w:style w:type="character" w:styleId="731" w:customStyle="1">
    <w:name w:val="Заголовок №7 (3)"/>
    <w:qFormat/>
    <w:rsid w:val="009644a8"/>
    <w:rPr>
      <w:i/>
      <w:iCs/>
      <w:sz w:val="28"/>
      <w:szCs w:val="28"/>
      <w:shd w:fill="FFFFFF" w:val="clear"/>
    </w:rPr>
  </w:style>
  <w:style w:type="character" w:styleId="10pt1" w:customStyle="1">
    <w:name w:val="Основной текст + 10 pt1"/>
    <w:qFormat/>
    <w:rsid w:val="009644a8"/>
    <w:rPr>
      <w:rFonts w:ascii="Times New Roman" w:hAnsi="Times New Roman" w:cs="Times New Roman"/>
      <w:i/>
      <w:iCs/>
      <w:spacing w:val="0"/>
      <w:sz w:val="20"/>
      <w:szCs w:val="20"/>
    </w:rPr>
  </w:style>
  <w:style w:type="character" w:styleId="Style24" w:customStyle="1">
    <w:name w:val="Основной текст + Курсив"/>
    <w:qFormat/>
    <w:rsid w:val="009644a8"/>
    <w:rPr>
      <w:rFonts w:ascii="Times New Roman" w:hAnsi="Times New Roman" w:cs="Times New Roman"/>
      <w:i/>
      <w:iCs/>
      <w:spacing w:val="0"/>
      <w:sz w:val="28"/>
      <w:szCs w:val="28"/>
    </w:rPr>
  </w:style>
  <w:style w:type="character" w:styleId="42" w:customStyle="1">
    <w:name w:val="Основной текст + Полужирный4"/>
    <w:qFormat/>
    <w:rsid w:val="009644a8"/>
    <w:rPr>
      <w:rFonts w:ascii="Times New Roman" w:hAnsi="Times New Roman" w:cs="Times New Roman"/>
      <w:b/>
      <w:bCs/>
      <w:spacing w:val="0"/>
      <w:sz w:val="28"/>
      <w:szCs w:val="28"/>
    </w:rPr>
  </w:style>
  <w:style w:type="character" w:styleId="71pt" w:customStyle="1">
    <w:name w:val="Заголовок №7 + Интервал 1 pt"/>
    <w:qFormat/>
    <w:rsid w:val="009644a8"/>
    <w:rPr>
      <w:rFonts w:ascii="Times New Roman" w:hAnsi="Times New Roman" w:cs="Times New Roman"/>
      <w:spacing w:val="30"/>
      <w:sz w:val="28"/>
      <w:szCs w:val="28"/>
      <w:shd w:fill="FFFFFF" w:val="clear"/>
    </w:rPr>
  </w:style>
  <w:style w:type="character" w:styleId="25" w:customStyle="1">
    <w:name w:val="_Основной текст Знак2"/>
    <w:link w:val="afff1"/>
    <w:qFormat/>
    <w:rsid w:val="00212bd0"/>
    <w:rPr>
      <w:rFonts w:ascii="Times New Roman" w:hAnsi="Times New Roman" w:eastAsia="Times New Roman"/>
      <w:sz w:val="24"/>
      <w:szCs w:val="24"/>
    </w:rPr>
  </w:style>
  <w:style w:type="character" w:styleId="Style25" w:customStyle="1">
    <w:name w:val="Гипертекстовая ссылка"/>
    <w:uiPriority w:val="99"/>
    <w:qFormat/>
    <w:rsid w:val="00be5376"/>
    <w:rPr>
      <w:b w:val="false"/>
      <w:bCs w:val="false"/>
      <w:color w:val="106BBE"/>
    </w:rPr>
  </w:style>
  <w:style w:type="character" w:styleId="118" w:customStyle="1">
    <w:name w:val="Текст1 Знак"/>
    <w:link w:val="19"/>
    <w:qFormat/>
    <w:rsid w:val="003d0e6f"/>
    <w:rPr>
      <w:rFonts w:ascii="Courier New" w:hAnsi="Courier New" w:eastAsia="Times New Roman"/>
    </w:rPr>
  </w:style>
  <w:style w:type="character" w:styleId="PlaceholderText">
    <w:name w:val="Placeholder Text"/>
    <w:basedOn w:val="DefaultParagraphFont"/>
    <w:uiPriority w:val="99"/>
    <w:semiHidden/>
    <w:qFormat/>
    <w:rsid w:val="00aa1c3e"/>
    <w:rPr>
      <w:color w:val="808080"/>
    </w:rPr>
  </w:style>
  <w:style w:type="character" w:styleId="ConsPlusNormal" w:customStyle="1">
    <w:name w:val="ConsPlusNormal Знак"/>
    <w:link w:val="ConsPlusNormal"/>
    <w:qFormat/>
    <w:rsid w:val="00ad2a4c"/>
    <w:rPr>
      <w:rFonts w:ascii="Arial" w:hAnsi="Arial" w:eastAsia="Times New Roman" w:cs="Arial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8">
    <w:name w:val="ListLabel 8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9">
    <w:name w:val="ListLabel 9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0">
    <w:name w:val="ListLabel 10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1">
    <w:name w:val="ListLabel 11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2">
    <w:name w:val="ListLabel 12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3">
    <w:name w:val="ListLabel 13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4">
    <w:name w:val="ListLabel 14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5">
    <w:name w:val="ListLabel 15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6">
    <w:name w:val="ListLabel 16"/>
    <w:qFormat/>
    <w:rPr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7">
    <w:name w:val="ListLabel 17"/>
    <w:qFormat/>
    <w:rPr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8">
    <w:name w:val="ListLabel 18"/>
    <w:qFormat/>
    <w:rPr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9">
    <w:name w:val="ListLabel 19"/>
    <w:qFormat/>
    <w:rPr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0">
    <w:name w:val="ListLabel 20"/>
    <w:qFormat/>
    <w:rPr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1">
    <w:name w:val="ListLabel 21"/>
    <w:qFormat/>
    <w:rPr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2">
    <w:name w:val="ListLabel 22"/>
    <w:qFormat/>
    <w:rPr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3">
    <w:name w:val="ListLabel 23"/>
    <w:qFormat/>
    <w:rPr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4">
    <w:name w:val="ListLabel 24"/>
    <w:qFormat/>
    <w:rPr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5">
    <w:name w:val="ListLabel 25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6">
    <w:name w:val="ListLabel 26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7">
    <w:name w:val="ListLabel 27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8">
    <w:name w:val="ListLabel 28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9">
    <w:name w:val="ListLabel 29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30">
    <w:name w:val="ListLabel 30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31">
    <w:name w:val="ListLabel 31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32">
    <w:name w:val="ListLabel 32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33">
    <w:name w:val="ListLabel 33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34">
    <w:name w:val="ListLabel 34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35">
    <w:name w:val="ListLabel 35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36">
    <w:name w:val="ListLabel 36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37">
    <w:name w:val="ListLabel 37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38">
    <w:name w:val="ListLabel 38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39">
    <w:name w:val="ListLabel 39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40">
    <w:name w:val="ListLabel 40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41">
    <w:name w:val="ListLabel 41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42">
    <w:name w:val="ListLabel 42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43">
    <w:name w:val="ListLabel 43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44">
    <w:name w:val="ListLabel 44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45">
    <w:name w:val="ListLabel 45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46">
    <w:name w:val="ListLabel 46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47">
    <w:name w:val="ListLabel 47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48">
    <w:name w:val="ListLabel 48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49">
    <w:name w:val="ListLabel 49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50">
    <w:name w:val="ListLabel 50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51">
    <w:name w:val="ListLabel 51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52">
    <w:name w:val="ListLabel 52"/>
    <w:qFormat/>
    <w:rPr>
      <w:rFonts w:eastAsia="StarSymbol" w:cs="StarSymbol"/>
      <w:sz w:val="18"/>
      <w:szCs w:val="18"/>
    </w:rPr>
  </w:style>
  <w:style w:type="character" w:styleId="ListLabel53">
    <w:name w:val="ListLabel 53"/>
    <w:qFormat/>
    <w:rPr>
      <w:rFonts w:eastAsia="StarSymbol" w:cs="StarSymbol"/>
      <w:sz w:val="18"/>
      <w:szCs w:val="18"/>
    </w:rPr>
  </w:style>
  <w:style w:type="character" w:styleId="ListLabel54">
    <w:name w:val="ListLabel 54"/>
    <w:qFormat/>
    <w:rPr>
      <w:rFonts w:eastAsia="StarSymbol" w:cs="StarSymbol"/>
      <w:sz w:val="18"/>
      <w:szCs w:val="18"/>
    </w:rPr>
  </w:style>
  <w:style w:type="character" w:styleId="ListLabel55">
    <w:name w:val="ListLabel 55"/>
    <w:qFormat/>
    <w:rPr>
      <w:rFonts w:eastAsia="StarSymbol" w:cs="StarSymbol"/>
      <w:sz w:val="18"/>
      <w:szCs w:val="18"/>
    </w:rPr>
  </w:style>
  <w:style w:type="character" w:styleId="ListLabel56">
    <w:name w:val="ListLabel 56"/>
    <w:qFormat/>
    <w:rPr>
      <w:rFonts w:eastAsia="StarSymbol" w:cs="StarSymbol"/>
      <w:sz w:val="18"/>
      <w:szCs w:val="18"/>
    </w:rPr>
  </w:style>
  <w:style w:type="character" w:styleId="ListLabel57">
    <w:name w:val="ListLabel 57"/>
    <w:qFormat/>
    <w:rPr>
      <w:rFonts w:eastAsia="StarSymbol" w:cs="StarSymbol"/>
      <w:sz w:val="18"/>
      <w:szCs w:val="18"/>
    </w:rPr>
  </w:style>
  <w:style w:type="character" w:styleId="ListLabel58">
    <w:name w:val="ListLabel 58"/>
    <w:qFormat/>
    <w:rPr>
      <w:rFonts w:eastAsia="StarSymbol" w:cs="StarSymbol"/>
      <w:sz w:val="18"/>
      <w:szCs w:val="18"/>
    </w:rPr>
  </w:style>
  <w:style w:type="character" w:styleId="ListLabel59">
    <w:name w:val="ListLabel 59"/>
    <w:qFormat/>
    <w:rPr>
      <w:rFonts w:eastAsia="StarSymbol" w:cs="StarSymbol"/>
      <w:sz w:val="18"/>
      <w:szCs w:val="18"/>
    </w:rPr>
  </w:style>
  <w:style w:type="character" w:styleId="ListLabel60">
    <w:name w:val="ListLabel 60"/>
    <w:qFormat/>
    <w:rPr>
      <w:rFonts w:eastAsia="StarSymbol" w:cs="StarSymbol"/>
      <w:sz w:val="18"/>
      <w:szCs w:val="18"/>
    </w:rPr>
  </w:style>
  <w:style w:type="character" w:styleId="ListLabel61">
    <w:name w:val="ListLabel 61"/>
    <w:qFormat/>
    <w:rPr>
      <w:rFonts w:eastAsia="StarSymbol" w:cs="StarSymbol"/>
      <w:sz w:val="18"/>
      <w:szCs w:val="18"/>
    </w:rPr>
  </w:style>
  <w:style w:type="character" w:styleId="ListLabel62">
    <w:name w:val="ListLabel 62"/>
    <w:qFormat/>
    <w:rPr>
      <w:rFonts w:eastAsia="StarSymbol" w:cs="StarSymbol"/>
      <w:sz w:val="18"/>
      <w:szCs w:val="18"/>
    </w:rPr>
  </w:style>
  <w:style w:type="character" w:styleId="ListLabel63">
    <w:name w:val="ListLabel 63"/>
    <w:qFormat/>
    <w:rPr>
      <w:rFonts w:eastAsia="StarSymbol" w:cs="StarSymbol"/>
      <w:sz w:val="18"/>
      <w:szCs w:val="18"/>
    </w:rPr>
  </w:style>
  <w:style w:type="character" w:styleId="ListLabel64">
    <w:name w:val="ListLabel 64"/>
    <w:qFormat/>
    <w:rPr>
      <w:rFonts w:eastAsia="StarSymbol" w:cs="StarSymbol"/>
      <w:sz w:val="18"/>
      <w:szCs w:val="18"/>
    </w:rPr>
  </w:style>
  <w:style w:type="character" w:styleId="ListLabel65">
    <w:name w:val="ListLabel 65"/>
    <w:qFormat/>
    <w:rPr>
      <w:rFonts w:eastAsia="StarSymbol" w:cs="StarSymbol"/>
      <w:sz w:val="18"/>
      <w:szCs w:val="18"/>
    </w:rPr>
  </w:style>
  <w:style w:type="character" w:styleId="ListLabel66">
    <w:name w:val="ListLabel 66"/>
    <w:qFormat/>
    <w:rPr>
      <w:rFonts w:eastAsia="StarSymbol" w:cs="StarSymbol"/>
      <w:sz w:val="18"/>
      <w:szCs w:val="18"/>
    </w:rPr>
  </w:style>
  <w:style w:type="character" w:styleId="ListLabel67">
    <w:name w:val="ListLabel 67"/>
    <w:qFormat/>
    <w:rPr>
      <w:rFonts w:eastAsia="StarSymbol" w:cs="StarSymbol"/>
      <w:sz w:val="18"/>
      <w:szCs w:val="18"/>
    </w:rPr>
  </w:style>
  <w:style w:type="character" w:styleId="ListLabel68">
    <w:name w:val="ListLabel 68"/>
    <w:qFormat/>
    <w:rPr>
      <w:rFonts w:eastAsia="StarSymbol" w:cs="StarSymbol"/>
      <w:sz w:val="18"/>
      <w:szCs w:val="18"/>
    </w:rPr>
  </w:style>
  <w:style w:type="character" w:styleId="ListLabel69">
    <w:name w:val="ListLabel 69"/>
    <w:qFormat/>
    <w:rPr>
      <w:rFonts w:eastAsia="StarSymbol" w:cs="StarSymbol"/>
      <w:sz w:val="18"/>
      <w:szCs w:val="18"/>
    </w:rPr>
  </w:style>
  <w:style w:type="character" w:styleId="ListLabel70">
    <w:name w:val="ListLabel 70"/>
    <w:qFormat/>
    <w:rPr>
      <w:rFonts w:eastAsia="StarSymbol" w:cs="StarSymbol"/>
      <w:sz w:val="18"/>
      <w:szCs w:val="18"/>
    </w:rPr>
  </w:style>
  <w:style w:type="character" w:styleId="ListLabel71">
    <w:name w:val="ListLabel 71"/>
    <w:qFormat/>
    <w:rPr>
      <w:rFonts w:eastAsia="StarSymbol" w:cs="StarSymbol"/>
      <w:sz w:val="18"/>
      <w:szCs w:val="18"/>
    </w:rPr>
  </w:style>
  <w:style w:type="character" w:styleId="ListLabel72">
    <w:name w:val="ListLabel 72"/>
    <w:qFormat/>
    <w:rPr>
      <w:rFonts w:eastAsia="StarSymbol" w:cs="StarSymbol"/>
      <w:sz w:val="18"/>
      <w:szCs w:val="18"/>
    </w:rPr>
  </w:style>
  <w:style w:type="character" w:styleId="ListLabel73">
    <w:name w:val="ListLabel 73"/>
    <w:qFormat/>
    <w:rPr>
      <w:rFonts w:eastAsia="StarSymbol" w:cs="StarSymbol"/>
      <w:sz w:val="18"/>
      <w:szCs w:val="18"/>
    </w:rPr>
  </w:style>
  <w:style w:type="character" w:styleId="ListLabel74">
    <w:name w:val="ListLabel 74"/>
    <w:qFormat/>
    <w:rPr>
      <w:rFonts w:eastAsia="StarSymbol" w:cs="StarSymbol"/>
      <w:sz w:val="18"/>
      <w:szCs w:val="18"/>
    </w:rPr>
  </w:style>
  <w:style w:type="character" w:styleId="ListLabel75">
    <w:name w:val="ListLabel 75"/>
    <w:qFormat/>
    <w:rPr>
      <w:rFonts w:eastAsia="StarSymbol" w:cs="StarSymbol"/>
      <w:sz w:val="18"/>
      <w:szCs w:val="18"/>
    </w:rPr>
  </w:style>
  <w:style w:type="character" w:styleId="ListLabel76">
    <w:name w:val="ListLabel 76"/>
    <w:qFormat/>
    <w:rPr>
      <w:rFonts w:eastAsia="StarSymbol" w:cs="StarSymbol"/>
      <w:sz w:val="18"/>
      <w:szCs w:val="18"/>
    </w:rPr>
  </w:style>
  <w:style w:type="character" w:styleId="ListLabel77">
    <w:name w:val="ListLabel 77"/>
    <w:qFormat/>
    <w:rPr>
      <w:rFonts w:eastAsia="StarSymbol" w:cs="StarSymbol"/>
      <w:sz w:val="18"/>
      <w:szCs w:val="18"/>
    </w:rPr>
  </w:style>
  <w:style w:type="character" w:styleId="ListLabel78">
    <w:name w:val="ListLabel 78"/>
    <w:qFormat/>
    <w:rPr>
      <w:rFonts w:eastAsia="StarSymbol" w:cs="StarSymbol"/>
      <w:sz w:val="18"/>
      <w:szCs w:val="18"/>
    </w:rPr>
  </w:style>
  <w:style w:type="character" w:styleId="ListLabel79">
    <w:name w:val="ListLabel 79"/>
    <w:qFormat/>
    <w:rPr>
      <w:rFonts w:eastAsia="StarSymbol" w:cs="StarSymbol"/>
      <w:sz w:val="18"/>
      <w:szCs w:val="18"/>
    </w:rPr>
  </w:style>
  <w:style w:type="character" w:styleId="ListLabel80">
    <w:name w:val="ListLabel 80"/>
    <w:qFormat/>
    <w:rPr>
      <w:rFonts w:eastAsia="StarSymbol" w:cs="StarSymbol"/>
      <w:sz w:val="18"/>
      <w:szCs w:val="18"/>
    </w:rPr>
  </w:style>
  <w:style w:type="character" w:styleId="ListLabel81">
    <w:name w:val="ListLabel 81"/>
    <w:qFormat/>
    <w:rPr>
      <w:rFonts w:eastAsia="StarSymbol" w:cs="StarSymbol"/>
      <w:sz w:val="18"/>
      <w:szCs w:val="18"/>
    </w:rPr>
  </w:style>
  <w:style w:type="character" w:styleId="ListLabel82">
    <w:name w:val="ListLabel 82"/>
    <w:qFormat/>
    <w:rPr>
      <w:rFonts w:eastAsia="StarSymbol" w:cs="StarSymbol"/>
      <w:sz w:val="18"/>
      <w:szCs w:val="18"/>
    </w:rPr>
  </w:style>
  <w:style w:type="character" w:styleId="ListLabel83">
    <w:name w:val="ListLabel 83"/>
    <w:qFormat/>
    <w:rPr>
      <w:rFonts w:eastAsia="StarSymbol" w:cs="StarSymbol"/>
      <w:sz w:val="18"/>
      <w:szCs w:val="18"/>
    </w:rPr>
  </w:style>
  <w:style w:type="character" w:styleId="ListLabel84">
    <w:name w:val="ListLabel 84"/>
    <w:qFormat/>
    <w:rPr>
      <w:rFonts w:eastAsia="StarSymbol" w:cs="StarSymbol"/>
      <w:sz w:val="18"/>
      <w:szCs w:val="18"/>
    </w:rPr>
  </w:style>
  <w:style w:type="character" w:styleId="ListLabel85">
    <w:name w:val="ListLabel 85"/>
    <w:qFormat/>
    <w:rPr>
      <w:rFonts w:eastAsia="StarSymbol" w:cs="StarSymbol"/>
      <w:sz w:val="18"/>
      <w:szCs w:val="18"/>
    </w:rPr>
  </w:style>
  <w:style w:type="character" w:styleId="ListLabel86">
    <w:name w:val="ListLabel 86"/>
    <w:qFormat/>
    <w:rPr>
      <w:rFonts w:eastAsia="StarSymbol" w:cs="StarSymbol"/>
      <w:sz w:val="18"/>
      <w:szCs w:val="18"/>
    </w:rPr>
  </w:style>
  <w:style w:type="character" w:styleId="ListLabel87">
    <w:name w:val="ListLabel 87"/>
    <w:qFormat/>
    <w:rPr>
      <w:rFonts w:eastAsia="StarSymbol" w:cs="StarSymbol"/>
      <w:sz w:val="18"/>
      <w:szCs w:val="18"/>
    </w:rPr>
  </w:style>
  <w:style w:type="character" w:styleId="ListLabel88">
    <w:name w:val="ListLabel 88"/>
    <w:qFormat/>
    <w:rPr>
      <w:rFonts w:eastAsia="StarSymbol" w:cs="StarSymbol"/>
      <w:sz w:val="18"/>
      <w:szCs w:val="18"/>
    </w:rPr>
  </w:style>
  <w:style w:type="character" w:styleId="ListLabel89">
    <w:name w:val="ListLabel 89"/>
    <w:qFormat/>
    <w:rPr>
      <w:rFonts w:eastAsia="StarSymbol" w:cs="StarSymbol"/>
      <w:sz w:val="18"/>
      <w:szCs w:val="18"/>
    </w:rPr>
  </w:style>
  <w:style w:type="character" w:styleId="ListLabel90">
    <w:name w:val="ListLabel 90"/>
    <w:qFormat/>
    <w:rPr>
      <w:rFonts w:eastAsia="StarSymbol" w:cs="StarSymbol"/>
      <w:sz w:val="18"/>
      <w:szCs w:val="18"/>
    </w:rPr>
  </w:style>
  <w:style w:type="character" w:styleId="ListLabel91">
    <w:name w:val="ListLabel 91"/>
    <w:qFormat/>
    <w:rPr>
      <w:rFonts w:eastAsia="StarSymbol" w:cs="StarSymbol"/>
      <w:sz w:val="18"/>
      <w:szCs w:val="18"/>
    </w:rPr>
  </w:style>
  <w:style w:type="character" w:styleId="ListLabel92">
    <w:name w:val="ListLabel 92"/>
    <w:qFormat/>
    <w:rPr>
      <w:rFonts w:eastAsia="StarSymbol" w:cs="StarSymbol"/>
      <w:sz w:val="18"/>
      <w:szCs w:val="18"/>
    </w:rPr>
  </w:style>
  <w:style w:type="character" w:styleId="ListLabel93">
    <w:name w:val="ListLabel 93"/>
    <w:qFormat/>
    <w:rPr>
      <w:rFonts w:eastAsia="StarSymbol" w:cs="StarSymbol"/>
      <w:sz w:val="18"/>
      <w:szCs w:val="18"/>
    </w:rPr>
  </w:style>
  <w:style w:type="character" w:styleId="ListLabel94">
    <w:name w:val="ListLabel 94"/>
    <w:qFormat/>
    <w:rPr>
      <w:rFonts w:eastAsia="StarSymbol" w:cs="StarSymbol"/>
      <w:sz w:val="18"/>
      <w:szCs w:val="18"/>
    </w:rPr>
  </w:style>
  <w:style w:type="character" w:styleId="ListLabel95">
    <w:name w:val="ListLabel 95"/>
    <w:qFormat/>
    <w:rPr>
      <w:rFonts w:eastAsia="StarSymbol" w:cs="StarSymbol"/>
      <w:sz w:val="18"/>
      <w:szCs w:val="18"/>
    </w:rPr>
  </w:style>
  <w:style w:type="character" w:styleId="ListLabel96">
    <w:name w:val="ListLabel 96"/>
    <w:qFormat/>
    <w:rPr>
      <w:rFonts w:eastAsia="StarSymbol" w:cs="StarSymbol"/>
      <w:sz w:val="18"/>
      <w:szCs w:val="18"/>
    </w:rPr>
  </w:style>
  <w:style w:type="character" w:styleId="ListLabel97">
    <w:name w:val="ListLabel 97"/>
    <w:qFormat/>
    <w:rPr>
      <w:rFonts w:eastAsia="StarSymbol" w:cs="StarSymbol"/>
      <w:sz w:val="18"/>
      <w:szCs w:val="18"/>
    </w:rPr>
  </w:style>
  <w:style w:type="character" w:styleId="ListLabel98">
    <w:name w:val="ListLabel 98"/>
    <w:qFormat/>
    <w:rPr>
      <w:rFonts w:eastAsia="StarSymbol" w:cs="StarSymbol"/>
      <w:sz w:val="18"/>
      <w:szCs w:val="18"/>
    </w:rPr>
  </w:style>
  <w:style w:type="character" w:styleId="ListLabel99">
    <w:name w:val="ListLabel 99"/>
    <w:qFormat/>
    <w:rPr>
      <w:rFonts w:eastAsia="StarSymbol" w:cs="StarSymbol"/>
      <w:sz w:val="18"/>
      <w:szCs w:val="18"/>
    </w:rPr>
  </w:style>
  <w:style w:type="character" w:styleId="ListLabel100">
    <w:name w:val="ListLabel 100"/>
    <w:qFormat/>
    <w:rPr>
      <w:rFonts w:eastAsia="StarSymbol" w:cs="StarSymbol"/>
      <w:sz w:val="18"/>
      <w:szCs w:val="18"/>
    </w:rPr>
  </w:style>
  <w:style w:type="character" w:styleId="ListLabel101">
    <w:name w:val="ListLabel 101"/>
    <w:qFormat/>
    <w:rPr>
      <w:rFonts w:eastAsia="StarSymbol" w:cs="StarSymbol"/>
      <w:sz w:val="18"/>
      <w:szCs w:val="18"/>
    </w:rPr>
  </w:style>
  <w:style w:type="character" w:styleId="ListLabel102">
    <w:name w:val="ListLabel 102"/>
    <w:qFormat/>
    <w:rPr>
      <w:rFonts w:eastAsia="StarSymbol" w:cs="StarSymbol"/>
      <w:sz w:val="18"/>
      <w:szCs w:val="18"/>
    </w:rPr>
  </w:style>
  <w:style w:type="character" w:styleId="ListLabel103">
    <w:name w:val="ListLabel 103"/>
    <w:qFormat/>
    <w:rPr>
      <w:rFonts w:eastAsia="StarSymbol" w:cs="StarSymbol"/>
      <w:sz w:val="18"/>
      <w:szCs w:val="18"/>
    </w:rPr>
  </w:style>
  <w:style w:type="character" w:styleId="ListLabel104">
    <w:name w:val="ListLabel 104"/>
    <w:qFormat/>
    <w:rPr>
      <w:rFonts w:eastAsia="StarSymbol" w:cs="StarSymbol"/>
      <w:sz w:val="18"/>
      <w:szCs w:val="18"/>
    </w:rPr>
  </w:style>
  <w:style w:type="character" w:styleId="ListLabel105">
    <w:name w:val="ListLabel 105"/>
    <w:qFormat/>
    <w:rPr>
      <w:rFonts w:eastAsia="StarSymbol" w:cs="StarSymbol"/>
      <w:sz w:val="18"/>
      <w:szCs w:val="18"/>
    </w:rPr>
  </w:style>
  <w:style w:type="character" w:styleId="ListLabel106">
    <w:name w:val="ListLabel 106"/>
    <w:qFormat/>
    <w:rPr>
      <w:rFonts w:eastAsia="StarSymbol" w:cs="StarSymbol"/>
      <w:sz w:val="18"/>
      <w:szCs w:val="18"/>
    </w:rPr>
  </w:style>
  <w:style w:type="character" w:styleId="ListLabel107">
    <w:name w:val="ListLabel 107"/>
    <w:qFormat/>
    <w:rPr>
      <w:rFonts w:eastAsia="StarSymbol" w:cs="StarSymbol"/>
      <w:sz w:val="18"/>
      <w:szCs w:val="18"/>
    </w:rPr>
  </w:style>
  <w:style w:type="character" w:styleId="ListLabel108">
    <w:name w:val="ListLabel 108"/>
    <w:qFormat/>
    <w:rPr>
      <w:rFonts w:eastAsia="StarSymbol" w:cs="StarSymbol"/>
      <w:sz w:val="18"/>
      <w:szCs w:val="18"/>
    </w:rPr>
  </w:style>
  <w:style w:type="character" w:styleId="ListLabel109">
    <w:name w:val="ListLabel 109"/>
    <w:qFormat/>
    <w:rPr>
      <w:rFonts w:eastAsia="StarSymbol" w:cs="StarSymbol"/>
      <w:sz w:val="18"/>
      <w:szCs w:val="18"/>
    </w:rPr>
  </w:style>
  <w:style w:type="character" w:styleId="ListLabel110">
    <w:name w:val="ListLabel 110"/>
    <w:qFormat/>
    <w:rPr>
      <w:rFonts w:eastAsia="StarSymbol" w:cs="StarSymbol"/>
      <w:sz w:val="18"/>
      <w:szCs w:val="18"/>
    </w:rPr>
  </w:style>
  <w:style w:type="character" w:styleId="ListLabel111">
    <w:name w:val="ListLabel 111"/>
    <w:qFormat/>
    <w:rPr>
      <w:rFonts w:eastAsia="StarSymbol" w:cs="StarSymbol"/>
      <w:sz w:val="18"/>
      <w:szCs w:val="18"/>
    </w:rPr>
  </w:style>
  <w:style w:type="character" w:styleId="ListLabel112">
    <w:name w:val="ListLabel 112"/>
    <w:qFormat/>
    <w:rPr>
      <w:rFonts w:eastAsia="StarSymbol" w:cs="StarSymbol"/>
      <w:sz w:val="18"/>
      <w:szCs w:val="18"/>
    </w:rPr>
  </w:style>
  <w:style w:type="character" w:styleId="ListLabel113">
    <w:name w:val="ListLabel 113"/>
    <w:qFormat/>
    <w:rPr>
      <w:rFonts w:eastAsia="StarSymbol" w:cs="StarSymbol"/>
      <w:sz w:val="18"/>
      <w:szCs w:val="18"/>
    </w:rPr>
  </w:style>
  <w:style w:type="character" w:styleId="ListLabel114">
    <w:name w:val="ListLabel 114"/>
    <w:qFormat/>
    <w:rPr>
      <w:rFonts w:eastAsia="StarSymbol" w:cs="StarSymbol"/>
      <w:sz w:val="18"/>
      <w:szCs w:val="18"/>
    </w:rPr>
  </w:style>
  <w:style w:type="character" w:styleId="ListLabel115">
    <w:name w:val="ListLabel 115"/>
    <w:qFormat/>
    <w:rPr>
      <w:rFonts w:eastAsia="StarSymbol" w:cs="StarSymbol"/>
      <w:sz w:val="18"/>
      <w:szCs w:val="18"/>
    </w:rPr>
  </w:style>
  <w:style w:type="character" w:styleId="ListLabel116">
    <w:name w:val="ListLabel 116"/>
    <w:qFormat/>
    <w:rPr>
      <w:rFonts w:eastAsia="StarSymbol" w:cs="StarSymbol"/>
      <w:sz w:val="18"/>
      <w:szCs w:val="18"/>
    </w:rPr>
  </w:style>
  <w:style w:type="character" w:styleId="ListLabel117">
    <w:name w:val="ListLabel 117"/>
    <w:qFormat/>
    <w:rPr>
      <w:rFonts w:eastAsia="StarSymbol" w:cs="StarSymbol"/>
      <w:sz w:val="18"/>
      <w:szCs w:val="18"/>
    </w:rPr>
  </w:style>
  <w:style w:type="character" w:styleId="ListLabel118">
    <w:name w:val="ListLabel 118"/>
    <w:qFormat/>
    <w:rPr>
      <w:rFonts w:eastAsia="StarSymbol" w:cs="StarSymbol"/>
      <w:sz w:val="18"/>
      <w:szCs w:val="18"/>
    </w:rPr>
  </w:style>
  <w:style w:type="character" w:styleId="ListLabel119">
    <w:name w:val="ListLabel 119"/>
    <w:qFormat/>
    <w:rPr>
      <w:rFonts w:eastAsia="StarSymbol" w:cs="StarSymbol"/>
      <w:sz w:val="18"/>
      <w:szCs w:val="18"/>
    </w:rPr>
  </w:style>
  <w:style w:type="character" w:styleId="ListLabel120">
    <w:name w:val="ListLabel 120"/>
    <w:qFormat/>
    <w:rPr>
      <w:rFonts w:eastAsia="StarSymbol" w:cs="StarSymbol"/>
      <w:sz w:val="18"/>
      <w:szCs w:val="18"/>
    </w:rPr>
  </w:style>
  <w:style w:type="character" w:styleId="ListLabel121">
    <w:name w:val="ListLabel 121"/>
    <w:qFormat/>
    <w:rPr>
      <w:rFonts w:eastAsia="StarSymbol" w:cs="StarSymbol"/>
      <w:sz w:val="18"/>
      <w:szCs w:val="18"/>
    </w:rPr>
  </w:style>
  <w:style w:type="character" w:styleId="ListLabel122">
    <w:name w:val="ListLabel 122"/>
    <w:qFormat/>
    <w:rPr>
      <w:rFonts w:eastAsia="StarSymbol" w:cs="StarSymbol"/>
      <w:sz w:val="18"/>
      <w:szCs w:val="18"/>
    </w:rPr>
  </w:style>
  <w:style w:type="character" w:styleId="ListLabel123">
    <w:name w:val="ListLabel 123"/>
    <w:qFormat/>
    <w:rPr>
      <w:rFonts w:eastAsia="StarSymbol" w:cs="StarSymbol"/>
      <w:sz w:val="18"/>
      <w:szCs w:val="18"/>
    </w:rPr>
  </w:style>
  <w:style w:type="character" w:styleId="ListLabel124">
    <w:name w:val="ListLabel 124"/>
    <w:qFormat/>
    <w:rPr>
      <w:rFonts w:eastAsia="StarSymbol" w:cs="StarSymbol"/>
      <w:sz w:val="18"/>
      <w:szCs w:val="18"/>
    </w:rPr>
  </w:style>
  <w:style w:type="character" w:styleId="ListLabel125">
    <w:name w:val="ListLabel 125"/>
    <w:qFormat/>
    <w:rPr>
      <w:rFonts w:eastAsia="StarSymbol" w:cs="StarSymbol"/>
      <w:sz w:val="18"/>
      <w:szCs w:val="18"/>
    </w:rPr>
  </w:style>
  <w:style w:type="character" w:styleId="ListLabel126">
    <w:name w:val="ListLabel 126"/>
    <w:qFormat/>
    <w:rPr>
      <w:rFonts w:eastAsia="StarSymbol" w:cs="StarSymbol"/>
      <w:sz w:val="18"/>
      <w:szCs w:val="18"/>
    </w:rPr>
  </w:style>
  <w:style w:type="character" w:styleId="ListLabel127">
    <w:name w:val="ListLabel 127"/>
    <w:qFormat/>
    <w:rPr>
      <w:rFonts w:eastAsia="StarSymbol" w:cs="StarSymbol"/>
      <w:sz w:val="18"/>
      <w:szCs w:val="18"/>
    </w:rPr>
  </w:style>
  <w:style w:type="character" w:styleId="ListLabel128">
    <w:name w:val="ListLabel 128"/>
    <w:qFormat/>
    <w:rPr>
      <w:rFonts w:eastAsia="StarSymbol" w:cs="StarSymbol"/>
      <w:sz w:val="18"/>
      <w:szCs w:val="18"/>
    </w:rPr>
  </w:style>
  <w:style w:type="character" w:styleId="ListLabel129">
    <w:name w:val="ListLabel 129"/>
    <w:qFormat/>
    <w:rPr>
      <w:rFonts w:eastAsia="StarSymbol" w:cs="StarSymbol"/>
      <w:sz w:val="18"/>
      <w:szCs w:val="18"/>
    </w:rPr>
  </w:style>
  <w:style w:type="character" w:styleId="ListLabel130">
    <w:name w:val="ListLabel 130"/>
    <w:qFormat/>
    <w:rPr>
      <w:rFonts w:eastAsia="StarSymbol" w:cs="StarSymbol"/>
      <w:sz w:val="18"/>
      <w:szCs w:val="18"/>
    </w:rPr>
  </w:style>
  <w:style w:type="character" w:styleId="ListLabel131">
    <w:name w:val="ListLabel 131"/>
    <w:qFormat/>
    <w:rPr>
      <w:rFonts w:eastAsia="StarSymbol" w:cs="StarSymbol"/>
      <w:sz w:val="18"/>
      <w:szCs w:val="18"/>
    </w:rPr>
  </w:style>
  <w:style w:type="character" w:styleId="ListLabel132">
    <w:name w:val="ListLabel 132"/>
    <w:qFormat/>
    <w:rPr>
      <w:rFonts w:eastAsia="StarSymbol" w:cs="StarSymbol"/>
      <w:sz w:val="18"/>
      <w:szCs w:val="18"/>
    </w:rPr>
  </w:style>
  <w:style w:type="character" w:styleId="ListLabel133">
    <w:name w:val="ListLabel 133"/>
    <w:qFormat/>
    <w:rPr>
      <w:rFonts w:eastAsia="StarSymbol" w:cs="StarSymbol"/>
      <w:sz w:val="18"/>
      <w:szCs w:val="18"/>
    </w:rPr>
  </w:style>
  <w:style w:type="character" w:styleId="ListLabel134">
    <w:name w:val="ListLabel 134"/>
    <w:qFormat/>
    <w:rPr>
      <w:rFonts w:eastAsia="StarSymbol" w:cs="StarSymbol"/>
      <w:sz w:val="18"/>
      <w:szCs w:val="18"/>
    </w:rPr>
  </w:style>
  <w:style w:type="character" w:styleId="ListLabel135">
    <w:name w:val="ListLabel 135"/>
    <w:qFormat/>
    <w:rPr>
      <w:rFonts w:eastAsia="StarSymbol" w:cs="StarSymbol"/>
      <w:sz w:val="18"/>
      <w:szCs w:val="18"/>
    </w:rPr>
  </w:style>
  <w:style w:type="character" w:styleId="ListLabel136">
    <w:name w:val="ListLabel 136"/>
    <w:qFormat/>
    <w:rPr>
      <w:rFonts w:eastAsia="StarSymbol" w:cs="StarSymbol"/>
      <w:sz w:val="18"/>
      <w:szCs w:val="18"/>
    </w:rPr>
  </w:style>
  <w:style w:type="character" w:styleId="ListLabel137">
    <w:name w:val="ListLabel 137"/>
    <w:qFormat/>
    <w:rPr>
      <w:rFonts w:eastAsia="StarSymbol" w:cs="StarSymbol"/>
      <w:sz w:val="18"/>
      <w:szCs w:val="18"/>
    </w:rPr>
  </w:style>
  <w:style w:type="character" w:styleId="ListLabel138">
    <w:name w:val="ListLabel 138"/>
    <w:qFormat/>
    <w:rPr>
      <w:rFonts w:eastAsia="StarSymbol" w:cs="StarSymbol"/>
      <w:sz w:val="18"/>
      <w:szCs w:val="18"/>
    </w:rPr>
  </w:style>
  <w:style w:type="character" w:styleId="ListLabel139">
    <w:name w:val="ListLabel 139"/>
    <w:qFormat/>
    <w:rPr>
      <w:rFonts w:eastAsia="StarSymbol" w:cs="StarSymbol"/>
      <w:sz w:val="18"/>
      <w:szCs w:val="18"/>
    </w:rPr>
  </w:style>
  <w:style w:type="character" w:styleId="ListLabel140">
    <w:name w:val="ListLabel 140"/>
    <w:qFormat/>
    <w:rPr>
      <w:rFonts w:eastAsia="StarSymbol" w:cs="StarSymbol"/>
      <w:sz w:val="18"/>
      <w:szCs w:val="18"/>
    </w:rPr>
  </w:style>
  <w:style w:type="character" w:styleId="ListLabel141">
    <w:name w:val="ListLabel 141"/>
    <w:qFormat/>
    <w:rPr>
      <w:rFonts w:eastAsia="StarSymbol" w:cs="StarSymbol"/>
      <w:sz w:val="18"/>
      <w:szCs w:val="18"/>
    </w:rPr>
  </w:style>
  <w:style w:type="character" w:styleId="ListLabel142">
    <w:name w:val="ListLabel 142"/>
    <w:qFormat/>
    <w:rPr>
      <w:rFonts w:eastAsia="StarSymbol" w:cs="StarSymbol"/>
      <w:sz w:val="18"/>
      <w:szCs w:val="18"/>
    </w:rPr>
  </w:style>
  <w:style w:type="character" w:styleId="ListLabel143">
    <w:name w:val="ListLabel 143"/>
    <w:qFormat/>
    <w:rPr>
      <w:rFonts w:eastAsia="StarSymbol" w:cs="StarSymbol"/>
      <w:sz w:val="18"/>
      <w:szCs w:val="18"/>
    </w:rPr>
  </w:style>
  <w:style w:type="character" w:styleId="ListLabel144">
    <w:name w:val="ListLabel 144"/>
    <w:qFormat/>
    <w:rPr>
      <w:rFonts w:eastAsia="StarSymbol" w:cs="StarSymbol"/>
      <w:sz w:val="18"/>
      <w:szCs w:val="18"/>
    </w:rPr>
  </w:style>
  <w:style w:type="character" w:styleId="ListLabel145">
    <w:name w:val="ListLabel 145"/>
    <w:qFormat/>
    <w:rPr>
      <w:rFonts w:eastAsia="StarSymbol" w:cs="StarSymbol"/>
      <w:sz w:val="18"/>
      <w:szCs w:val="18"/>
    </w:rPr>
  </w:style>
  <w:style w:type="character" w:styleId="ListLabel146">
    <w:name w:val="ListLabel 146"/>
    <w:qFormat/>
    <w:rPr>
      <w:rFonts w:eastAsia="StarSymbol" w:cs="StarSymbol"/>
      <w:sz w:val="18"/>
      <w:szCs w:val="18"/>
    </w:rPr>
  </w:style>
  <w:style w:type="character" w:styleId="ListLabel147">
    <w:name w:val="ListLabel 147"/>
    <w:qFormat/>
    <w:rPr>
      <w:rFonts w:eastAsia="StarSymbol" w:cs="StarSymbol"/>
      <w:sz w:val="18"/>
      <w:szCs w:val="18"/>
    </w:rPr>
  </w:style>
  <w:style w:type="character" w:styleId="ListLabel148">
    <w:name w:val="ListLabel 148"/>
    <w:qFormat/>
    <w:rPr>
      <w:rFonts w:eastAsia="StarSymbol" w:cs="StarSymbol"/>
      <w:sz w:val="18"/>
      <w:szCs w:val="18"/>
    </w:rPr>
  </w:style>
  <w:style w:type="character" w:styleId="ListLabel149">
    <w:name w:val="ListLabel 149"/>
    <w:qFormat/>
    <w:rPr>
      <w:rFonts w:eastAsia="StarSymbol" w:cs="StarSymbol"/>
      <w:sz w:val="18"/>
      <w:szCs w:val="18"/>
    </w:rPr>
  </w:style>
  <w:style w:type="character" w:styleId="ListLabel150">
    <w:name w:val="ListLabel 150"/>
    <w:qFormat/>
    <w:rPr>
      <w:rFonts w:eastAsia="StarSymbol" w:cs="StarSymbol"/>
      <w:sz w:val="18"/>
      <w:szCs w:val="18"/>
    </w:rPr>
  </w:style>
  <w:style w:type="character" w:styleId="ListLabel151">
    <w:name w:val="ListLabel 151"/>
    <w:qFormat/>
    <w:rPr>
      <w:u w:val="single"/>
    </w:rPr>
  </w:style>
  <w:style w:type="character" w:styleId="ListLabel152">
    <w:name w:val="ListLabel 152"/>
    <w:qFormat/>
    <w:rPr>
      <w:u w:val="single"/>
    </w:rPr>
  </w:style>
  <w:style w:type="character" w:styleId="ListLabel153">
    <w:name w:val="ListLabel 153"/>
    <w:qFormat/>
    <w:rPr>
      <w:rFonts w:eastAsia="StarSymbol" w:cs="StarSymbol"/>
      <w:sz w:val="18"/>
      <w:szCs w:val="18"/>
    </w:rPr>
  </w:style>
  <w:style w:type="character" w:styleId="ListLabel154">
    <w:name w:val="ListLabel 154"/>
    <w:qFormat/>
    <w:rPr>
      <w:rFonts w:eastAsia="StarSymbol" w:cs="StarSymbol"/>
      <w:sz w:val="18"/>
      <w:szCs w:val="18"/>
    </w:rPr>
  </w:style>
  <w:style w:type="character" w:styleId="ListLabel155">
    <w:name w:val="ListLabel 155"/>
    <w:qFormat/>
    <w:rPr>
      <w:rFonts w:eastAsia="StarSymbol" w:cs="StarSymbol"/>
      <w:sz w:val="18"/>
      <w:szCs w:val="18"/>
    </w:rPr>
  </w:style>
  <w:style w:type="character" w:styleId="ListLabel156">
    <w:name w:val="ListLabel 156"/>
    <w:qFormat/>
    <w:rPr>
      <w:rFonts w:eastAsia="StarSymbol" w:cs="StarSymbol"/>
      <w:sz w:val="18"/>
      <w:szCs w:val="18"/>
    </w:rPr>
  </w:style>
  <w:style w:type="character" w:styleId="ListLabel157">
    <w:name w:val="ListLabel 157"/>
    <w:qFormat/>
    <w:rPr>
      <w:rFonts w:eastAsia="StarSymbol" w:cs="StarSymbol"/>
      <w:sz w:val="18"/>
      <w:szCs w:val="18"/>
    </w:rPr>
  </w:style>
  <w:style w:type="character" w:styleId="ListLabel158">
    <w:name w:val="ListLabel 158"/>
    <w:qFormat/>
    <w:rPr>
      <w:rFonts w:eastAsia="StarSymbol" w:cs="StarSymbol"/>
      <w:sz w:val="18"/>
      <w:szCs w:val="18"/>
    </w:rPr>
  </w:style>
  <w:style w:type="character" w:styleId="ListLabel159">
    <w:name w:val="ListLabel 159"/>
    <w:qFormat/>
    <w:rPr>
      <w:rFonts w:eastAsia="StarSymbol" w:cs="StarSymbol"/>
      <w:sz w:val="18"/>
      <w:szCs w:val="18"/>
    </w:rPr>
  </w:style>
  <w:style w:type="character" w:styleId="ListLabel160">
    <w:name w:val="ListLabel 160"/>
    <w:qFormat/>
    <w:rPr>
      <w:rFonts w:eastAsia="StarSymbol" w:cs="StarSymbol"/>
      <w:sz w:val="18"/>
      <w:szCs w:val="18"/>
    </w:rPr>
  </w:style>
  <w:style w:type="character" w:styleId="ListLabel161">
    <w:name w:val="ListLabel 161"/>
    <w:qFormat/>
    <w:rPr>
      <w:rFonts w:eastAsia="StarSymbol" w:cs="StarSymbol"/>
      <w:sz w:val="18"/>
      <w:szCs w:val="18"/>
    </w:rPr>
  </w:style>
  <w:style w:type="paragraph" w:styleId="Style26" w:customStyle="1">
    <w:name w:val="Заголовок"/>
    <w:basedOn w:val="Normal"/>
    <w:next w:val="Style27"/>
    <w:qFormat/>
    <w:rsid w:val="009644a8"/>
    <w:pPr>
      <w:widowControl/>
      <w:bidi w:val="0"/>
      <w:spacing w:before="0" w:after="0"/>
      <w:contextualSpacing/>
      <w:jc w:val="left"/>
    </w:pPr>
    <w:rPr>
      <w:rFonts w:ascii="Arial" w:hAnsi="Arial" w:eastAsia="Times New Roman" w:cs="Arial"/>
      <w:b/>
      <w:bCs/>
      <w:sz w:val="22"/>
      <w:szCs w:val="22"/>
    </w:rPr>
  </w:style>
  <w:style w:type="paragraph" w:styleId="Style27">
    <w:name w:val="Body Text"/>
    <w:basedOn w:val="Normal"/>
    <w:link w:val="af9"/>
    <w:uiPriority w:val="99"/>
    <w:semiHidden/>
    <w:unhideWhenUsed/>
    <w:rsid w:val="009644a8"/>
    <w:pPr>
      <w:spacing w:before="0" w:after="120"/>
    </w:pPr>
    <w:rPr>
      <w:rFonts w:eastAsia="Times New Roman"/>
    </w:rPr>
  </w:style>
  <w:style w:type="paragraph" w:styleId="Style28">
    <w:name w:val="List"/>
    <w:basedOn w:val="Style27"/>
    <w:pPr/>
    <w:rPr>
      <w:rFonts w:cs="Arial"/>
    </w:rPr>
  </w:style>
  <w:style w:type="paragraph" w:styleId="Style2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30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rsid w:val="00e87d6a"/>
    <w:pPr>
      <w:widowControl/>
      <w:spacing w:lineRule="auto" w:line="360"/>
      <w:ind w:hanging="0"/>
      <w:jc w:val="left"/>
    </w:pPr>
    <w:rPr>
      <w:rFonts w:eastAsia="Times New Roman"/>
      <w:sz w:val="28"/>
    </w:rPr>
  </w:style>
  <w:style w:type="paragraph" w:styleId="Style31">
    <w:name w:val="Title"/>
    <w:basedOn w:val="Normal"/>
    <w:link w:val="a6"/>
    <w:qFormat/>
    <w:rsid w:val="00e87d6a"/>
    <w:pPr>
      <w:widowControl/>
      <w:ind w:hanging="0"/>
      <w:jc w:val="center"/>
    </w:pPr>
    <w:rPr>
      <w:rFonts w:eastAsia="Times New Roman"/>
      <w:b/>
      <w:bCs/>
      <w:sz w:val="28"/>
    </w:rPr>
  </w:style>
  <w:style w:type="paragraph" w:styleId="Style32">
    <w:name w:val="Subtitle"/>
    <w:basedOn w:val="Normal"/>
    <w:link w:val="a8"/>
    <w:qFormat/>
    <w:rsid w:val="00e87d6a"/>
    <w:pPr>
      <w:widowControl/>
      <w:spacing w:before="60" w:after="0"/>
      <w:ind w:hanging="0"/>
    </w:pPr>
    <w:rPr>
      <w:rFonts w:eastAsia="Times New Roman"/>
      <w:szCs w:val="20"/>
    </w:rPr>
  </w:style>
  <w:style w:type="paragraph" w:styleId="NoSpacing">
    <w:name w:val="No Spacing"/>
    <w:uiPriority w:val="1"/>
    <w:qFormat/>
    <w:rsid w:val="00e87d6a"/>
    <w:pPr>
      <w:widowControl w:val="false"/>
      <w:bidi w:val="0"/>
      <w:ind w:firstLine="720"/>
      <w:jc w:val="left"/>
    </w:pPr>
    <w:rPr>
      <w:rFonts w:ascii="Times New Roman" w:hAnsi="Times New Roman" w:eastAsia="Calibri" w:cs="Times New Roman"/>
      <w:color w:val="auto"/>
      <w:sz w:val="24"/>
      <w:szCs w:val="24"/>
      <w:lang w:val="ru-RU" w:eastAsia="ru-RU" w:bidi="ar-SA"/>
    </w:rPr>
  </w:style>
  <w:style w:type="paragraph" w:styleId="ListParagraph">
    <w:name w:val="List Paragraph"/>
    <w:basedOn w:val="Normal"/>
    <w:link w:val="ad"/>
    <w:uiPriority w:val="34"/>
    <w:qFormat/>
    <w:rsid w:val="00e87d6a"/>
    <w:pPr>
      <w:widowControl/>
      <w:spacing w:before="0" w:after="0"/>
      <w:ind w:left="720" w:hanging="0"/>
      <w:contextualSpacing/>
      <w:jc w:val="left"/>
    </w:pPr>
    <w:rPr>
      <w:rFonts w:eastAsia="Times New Roman"/>
    </w:rPr>
  </w:style>
  <w:style w:type="paragraph" w:styleId="119" w:customStyle="1">
    <w:name w:val="Стиль1"/>
    <w:basedOn w:val="Normal"/>
    <w:link w:val="12"/>
    <w:qFormat/>
    <w:rsid w:val="00e87d6a"/>
    <w:pPr/>
    <w:rPr>
      <w:rFonts w:eastAsia="Times New Roman"/>
    </w:rPr>
  </w:style>
  <w:style w:type="paragraph" w:styleId="Style33" w:customStyle="1">
    <w:name w:val="Маркированный текст документа"/>
    <w:basedOn w:val="Normal"/>
    <w:uiPriority w:val="99"/>
    <w:qFormat/>
    <w:rsid w:val="00e87d6a"/>
    <w:pPr>
      <w:widowControl/>
      <w:tabs>
        <w:tab w:val="left" w:pos="567" w:leader="none"/>
      </w:tabs>
      <w:suppressAutoHyphens w:val="true"/>
      <w:spacing w:lineRule="auto" w:line="288"/>
    </w:pPr>
    <w:rPr>
      <w:rFonts w:ascii="Arial" w:hAnsi="Arial" w:eastAsia="Times New Roman"/>
      <w:szCs w:val="20"/>
      <w:lang w:eastAsia="ar-SA"/>
    </w:rPr>
  </w:style>
  <w:style w:type="paragraph" w:styleId="AltW" w:customStyle="1">
    <w:name w:val="Alt+W"/>
    <w:basedOn w:val="Normal"/>
    <w:uiPriority w:val="99"/>
    <w:qFormat/>
    <w:rsid w:val="00e87d6a"/>
    <w:pPr>
      <w:widowControl/>
      <w:tabs>
        <w:tab w:val="left" w:pos="709" w:leader="none"/>
      </w:tabs>
      <w:spacing w:before="120" w:after="0"/>
      <w:ind w:hanging="0"/>
    </w:pPr>
    <w:rPr>
      <w:rFonts w:ascii="Calibri" w:hAnsi="Calibri" w:eastAsia="Times New Roman"/>
      <w:szCs w:val="20"/>
    </w:rPr>
  </w:style>
  <w:style w:type="paragraph" w:styleId="NormalWeb">
    <w:name w:val="Normal (Web)"/>
    <w:basedOn w:val="Normal"/>
    <w:uiPriority w:val="34"/>
    <w:unhideWhenUsed/>
    <w:qFormat/>
    <w:rsid w:val="009644a8"/>
    <w:pPr>
      <w:widowControl/>
      <w:spacing w:before="0" w:after="0"/>
      <w:ind w:left="720" w:hanging="0"/>
      <w:contextualSpacing/>
      <w:jc w:val="left"/>
    </w:pPr>
    <w:rPr>
      <w:rFonts w:eastAsia="Times New Roman"/>
    </w:rPr>
  </w:style>
  <w:style w:type="paragraph" w:styleId="Footnotetext">
    <w:name w:val="footnote text"/>
    <w:basedOn w:val="Normal"/>
    <w:link w:val="af1"/>
    <w:semiHidden/>
    <w:unhideWhenUsed/>
    <w:qFormat/>
    <w:rsid w:val="009644a8"/>
    <w:pPr/>
    <w:rPr>
      <w:rFonts w:eastAsia="Times New Roman"/>
      <w:sz w:val="20"/>
      <w:szCs w:val="20"/>
    </w:rPr>
  </w:style>
  <w:style w:type="paragraph" w:styleId="Annotationtext">
    <w:name w:val="annotation text"/>
    <w:basedOn w:val="Normal"/>
    <w:link w:val="af3"/>
    <w:semiHidden/>
    <w:unhideWhenUsed/>
    <w:qFormat/>
    <w:rsid w:val="009644a8"/>
    <w:pPr/>
    <w:rPr>
      <w:rFonts w:eastAsia="Times New Roman"/>
      <w:sz w:val="20"/>
      <w:szCs w:val="20"/>
    </w:rPr>
  </w:style>
  <w:style w:type="paragraph" w:styleId="Style34">
    <w:name w:val="Header"/>
    <w:basedOn w:val="Normal"/>
    <w:link w:val="af5"/>
    <w:uiPriority w:val="99"/>
    <w:semiHidden/>
    <w:unhideWhenUsed/>
    <w:rsid w:val="009644a8"/>
    <w:pPr>
      <w:tabs>
        <w:tab w:val="center" w:pos="4677" w:leader="none"/>
        <w:tab w:val="right" w:pos="9355" w:leader="none"/>
      </w:tabs>
    </w:pPr>
    <w:rPr/>
  </w:style>
  <w:style w:type="paragraph" w:styleId="Style35">
    <w:name w:val="Footer"/>
    <w:basedOn w:val="Normal"/>
    <w:link w:val="af7"/>
    <w:uiPriority w:val="99"/>
    <w:unhideWhenUsed/>
    <w:rsid w:val="009644a8"/>
    <w:pPr>
      <w:tabs>
        <w:tab w:val="center" w:pos="4677" w:leader="none"/>
        <w:tab w:val="right" w:pos="9355" w:leader="none"/>
      </w:tabs>
    </w:pPr>
    <w:rPr/>
  </w:style>
  <w:style w:type="paragraph" w:styleId="Style36">
    <w:name w:val="Body Text Indent"/>
    <w:basedOn w:val="Normal"/>
    <w:link w:val="afb"/>
    <w:uiPriority w:val="99"/>
    <w:semiHidden/>
    <w:unhideWhenUsed/>
    <w:rsid w:val="009644a8"/>
    <w:pPr>
      <w:spacing w:before="0" w:after="120"/>
      <w:ind w:left="283" w:firstLine="720"/>
    </w:pPr>
    <w:rPr/>
  </w:style>
  <w:style w:type="paragraph" w:styleId="BodyText2">
    <w:name w:val="Body Text 2"/>
    <w:basedOn w:val="Normal"/>
    <w:link w:val="22"/>
    <w:uiPriority w:val="99"/>
    <w:unhideWhenUsed/>
    <w:qFormat/>
    <w:rsid w:val="009644a8"/>
    <w:pPr>
      <w:spacing w:lineRule="auto" w:line="480" w:before="0" w:after="120"/>
    </w:pPr>
    <w:rPr>
      <w:rFonts w:eastAsia="Times New Roman"/>
    </w:rPr>
  </w:style>
  <w:style w:type="paragraph" w:styleId="BodyText3">
    <w:name w:val="Body Text 3"/>
    <w:basedOn w:val="Normal"/>
    <w:link w:val="31"/>
    <w:uiPriority w:val="99"/>
    <w:unhideWhenUsed/>
    <w:qFormat/>
    <w:rsid w:val="009644a8"/>
    <w:pPr>
      <w:spacing w:before="0" w:after="120"/>
    </w:pPr>
    <w:rPr>
      <w:rFonts w:eastAsia="Times New Roman"/>
    </w:rPr>
  </w:style>
  <w:style w:type="paragraph" w:styleId="BodyTextIndent2">
    <w:name w:val="Body Text Indent 2"/>
    <w:basedOn w:val="Normal"/>
    <w:link w:val="24"/>
    <w:uiPriority w:val="99"/>
    <w:semiHidden/>
    <w:unhideWhenUsed/>
    <w:qFormat/>
    <w:rsid w:val="009644a8"/>
    <w:pPr>
      <w:spacing w:lineRule="auto" w:line="480" w:before="0" w:after="120"/>
      <w:ind w:left="283" w:firstLine="720"/>
    </w:pPr>
    <w:rPr>
      <w:rFonts w:eastAsia="Times New Roman"/>
    </w:rPr>
  </w:style>
  <w:style w:type="paragraph" w:styleId="BodyTextIndent3">
    <w:name w:val="Body Text Indent 3"/>
    <w:basedOn w:val="Normal"/>
    <w:link w:val="33"/>
    <w:uiPriority w:val="99"/>
    <w:semiHidden/>
    <w:unhideWhenUsed/>
    <w:qFormat/>
    <w:rsid w:val="009644a8"/>
    <w:pPr>
      <w:spacing w:before="0" w:after="120"/>
      <w:ind w:left="283" w:firstLine="720"/>
    </w:pPr>
    <w:rPr>
      <w:rFonts w:eastAsia="Times New Roman"/>
    </w:rPr>
  </w:style>
  <w:style w:type="paragraph" w:styleId="DocumentMap">
    <w:name w:val="Document Map"/>
    <w:basedOn w:val="Normal"/>
    <w:link w:val="afd"/>
    <w:semiHidden/>
    <w:unhideWhenUsed/>
    <w:qFormat/>
    <w:rsid w:val="009644a8"/>
    <w:pPr/>
    <w:rPr>
      <w:rFonts w:ascii="Tahoma" w:hAnsi="Tahoma" w:eastAsia="Times New Roman" w:cs="Tahoma"/>
      <w:sz w:val="20"/>
      <w:szCs w:val="20"/>
    </w:rPr>
  </w:style>
  <w:style w:type="paragraph" w:styleId="PlainText">
    <w:name w:val="Plain Text"/>
    <w:basedOn w:val="Normal"/>
    <w:link w:val="aff"/>
    <w:semiHidden/>
    <w:unhideWhenUsed/>
    <w:qFormat/>
    <w:rsid w:val="009644a8"/>
    <w:pPr>
      <w:widowControl/>
      <w:spacing w:before="0" w:after="0"/>
      <w:ind w:hanging="0"/>
      <w:contextualSpacing/>
      <w:jc w:val="left"/>
    </w:pPr>
    <w:rPr>
      <w:rFonts w:ascii="Courier New" w:hAnsi="Courier New" w:eastAsia="Times New Roman" w:cs="Courier New"/>
      <w:sz w:val="20"/>
      <w:szCs w:val="20"/>
    </w:rPr>
  </w:style>
  <w:style w:type="paragraph" w:styleId="Annotationsubject">
    <w:name w:val="annotation subject"/>
    <w:basedOn w:val="Annotationtext"/>
    <w:link w:val="aff1"/>
    <w:semiHidden/>
    <w:unhideWhenUsed/>
    <w:qFormat/>
    <w:rsid w:val="009644a8"/>
    <w:pPr/>
    <w:rPr>
      <w:b/>
      <w:bCs/>
    </w:rPr>
  </w:style>
  <w:style w:type="paragraph" w:styleId="BalloonText">
    <w:name w:val="Balloon Text"/>
    <w:basedOn w:val="Normal"/>
    <w:link w:val="aff3"/>
    <w:uiPriority w:val="99"/>
    <w:semiHidden/>
    <w:unhideWhenUsed/>
    <w:qFormat/>
    <w:rsid w:val="009644a8"/>
    <w:pPr/>
    <w:rPr>
      <w:rFonts w:ascii="Tahoma" w:hAnsi="Tahoma" w:cs="Tahoma"/>
      <w:sz w:val="16"/>
      <w:szCs w:val="16"/>
    </w:rPr>
  </w:style>
  <w:style w:type="paragraph" w:styleId="120" w:customStyle="1">
    <w:name w:val="Обычный1"/>
    <w:uiPriority w:val="99"/>
    <w:qFormat/>
    <w:rsid w:val="009644a8"/>
    <w:pPr>
      <w:widowControl/>
      <w:bidi w:val="0"/>
      <w:spacing w:before="0" w:after="0"/>
      <w:contextualSpacing/>
      <w:jc w:val="left"/>
    </w:pPr>
    <w:rPr>
      <w:rFonts w:ascii="Times New Roman" w:hAnsi="Times New Roman" w:eastAsia="Times New Roman" w:cs="Times New Roman"/>
      <w:color w:val="auto"/>
      <w:sz w:val="24"/>
      <w:szCs w:val="20"/>
      <w:lang w:val="ru-RU" w:eastAsia="ru-RU" w:bidi="ar-SA"/>
    </w:rPr>
  </w:style>
  <w:style w:type="paragraph" w:styleId="Style210" w:customStyle="1">
    <w:name w:val="Style2"/>
    <w:basedOn w:val="Normal"/>
    <w:uiPriority w:val="99"/>
    <w:qFormat/>
    <w:rsid w:val="009644a8"/>
    <w:pPr>
      <w:spacing w:lineRule="exact" w:line="221" w:before="0" w:after="0"/>
      <w:ind w:firstLine="494"/>
      <w:contextualSpacing/>
      <w:jc w:val="left"/>
    </w:pPr>
    <w:rPr>
      <w:rFonts w:ascii="Arial Narrow" w:hAnsi="Arial Narrow" w:eastAsia="Times New Roman"/>
    </w:rPr>
  </w:style>
  <w:style w:type="paragraph" w:styleId="Style37" w:customStyle="1">
    <w:name w:val="Style3"/>
    <w:basedOn w:val="Normal"/>
    <w:uiPriority w:val="99"/>
    <w:qFormat/>
    <w:rsid w:val="009644a8"/>
    <w:pPr>
      <w:spacing w:lineRule="exact" w:line="216" w:before="0" w:after="0"/>
      <w:ind w:hanging="72"/>
      <w:contextualSpacing/>
      <w:jc w:val="left"/>
    </w:pPr>
    <w:rPr>
      <w:rFonts w:ascii="Arial Narrow" w:hAnsi="Arial Narrow" w:eastAsia="Times New Roman"/>
    </w:rPr>
  </w:style>
  <w:style w:type="paragraph" w:styleId="Style41" w:customStyle="1">
    <w:name w:val="Style4"/>
    <w:basedOn w:val="Normal"/>
    <w:uiPriority w:val="99"/>
    <w:qFormat/>
    <w:rsid w:val="009644a8"/>
    <w:pPr>
      <w:spacing w:lineRule="exact" w:line="178" w:before="0" w:after="0"/>
      <w:ind w:hanging="0"/>
      <w:contextualSpacing/>
    </w:pPr>
    <w:rPr>
      <w:rFonts w:ascii="Arial Narrow" w:hAnsi="Arial Narrow" w:eastAsia="Times New Roman"/>
    </w:rPr>
  </w:style>
  <w:style w:type="paragraph" w:styleId="121" w:customStyle="1">
    <w:name w:val="Абзац списка1"/>
    <w:basedOn w:val="Normal"/>
    <w:uiPriority w:val="99"/>
    <w:qFormat/>
    <w:rsid w:val="009644a8"/>
    <w:pPr>
      <w:widowControl/>
      <w:spacing w:before="0" w:after="0"/>
      <w:ind w:left="720" w:hanging="0"/>
      <w:contextualSpacing/>
      <w:jc w:val="left"/>
    </w:pPr>
    <w:rPr>
      <w:sz w:val="28"/>
    </w:rPr>
  </w:style>
  <w:style w:type="paragraph" w:styleId="213" w:customStyle="1">
    <w:name w:val="Основной текст 21"/>
    <w:basedOn w:val="Normal"/>
    <w:qFormat/>
    <w:rsid w:val="009644a8"/>
    <w:pPr>
      <w:widowControl/>
      <w:suppressAutoHyphens w:val="true"/>
      <w:spacing w:before="280" w:after="280"/>
      <w:ind w:hanging="0"/>
      <w:contextualSpacing/>
      <w:jc w:val="left"/>
    </w:pPr>
    <w:rPr>
      <w:rFonts w:eastAsia="Times New Roman"/>
      <w:lang w:eastAsia="ar-SA"/>
    </w:rPr>
  </w:style>
  <w:style w:type="paragraph" w:styleId="FORMATTEXT" w:customStyle="1">
    <w:name w:val=".FORMATTEXT"/>
    <w:uiPriority w:val="99"/>
    <w:qFormat/>
    <w:rsid w:val="009644a8"/>
    <w:pPr>
      <w:widowControl w:val="false"/>
      <w:bidi w:val="0"/>
      <w:spacing w:before="0" w:after="0"/>
      <w:contextualSpacing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Formattext1" w:customStyle="1">
    <w:name w:val="formattext"/>
    <w:basedOn w:val="Normal"/>
    <w:uiPriority w:val="99"/>
    <w:qFormat/>
    <w:rsid w:val="009644a8"/>
    <w:pPr>
      <w:widowControl/>
      <w:spacing w:beforeAutospacing="1" w:afterAutospacing="1"/>
      <w:ind w:hanging="0"/>
      <w:contextualSpacing/>
      <w:jc w:val="left"/>
    </w:pPr>
    <w:rPr>
      <w:rFonts w:eastAsia="Times New Roman"/>
    </w:rPr>
  </w:style>
  <w:style w:type="paragraph" w:styleId="ConsPlusNonformat" w:customStyle="1">
    <w:name w:val="ConsPlusNonformat"/>
    <w:uiPriority w:val="99"/>
    <w:qFormat/>
    <w:rsid w:val="009644a8"/>
    <w:pPr>
      <w:widowControl/>
      <w:bidi w:val="0"/>
      <w:spacing w:before="0" w:after="0"/>
      <w:contextualSpacing/>
      <w:jc w:val="left"/>
    </w:pPr>
    <w:rPr>
      <w:rFonts w:ascii="Courier New" w:hAnsi="Courier New" w:eastAsia="Times New Roman" w:cs="Courier New"/>
      <w:color w:val="auto"/>
      <w:sz w:val="24"/>
      <w:szCs w:val="20"/>
      <w:lang w:val="ru-RU" w:eastAsia="ru-RU" w:bidi="ar-SA"/>
    </w:rPr>
  </w:style>
  <w:style w:type="paragraph" w:styleId="26" w:customStyle="1">
    <w:name w:val="Цитата2"/>
    <w:basedOn w:val="Normal"/>
    <w:uiPriority w:val="99"/>
    <w:qFormat/>
    <w:rsid w:val="009644a8"/>
    <w:pPr>
      <w:spacing w:lineRule="exact" w:line="960" w:before="0" w:after="0"/>
      <w:ind w:left="720" w:right="39" w:hanging="0"/>
      <w:contextualSpacing/>
      <w:jc w:val="left"/>
    </w:pPr>
    <w:rPr>
      <w:lang w:eastAsia="ar-SA"/>
    </w:rPr>
  </w:style>
  <w:style w:type="paragraph" w:styleId="MIDDLEPICT" w:customStyle="1">
    <w:name w:val=".MIDDLEPICT"/>
    <w:uiPriority w:val="99"/>
    <w:qFormat/>
    <w:rsid w:val="009644a8"/>
    <w:pPr>
      <w:widowControl w:val="false"/>
      <w:bidi w:val="0"/>
      <w:spacing w:before="0" w:after="0"/>
      <w:contextualSpacing/>
      <w:jc w:val="left"/>
    </w:pPr>
    <w:rPr>
      <w:rFonts w:ascii="Times New Roman" w:hAnsi="Times New Roman" w:eastAsia="Calibri" w:cs="Times New Roman"/>
      <w:color w:val="auto"/>
      <w:sz w:val="24"/>
      <w:szCs w:val="24"/>
      <w:lang w:val="ru-RU" w:eastAsia="ru-RU" w:bidi="ar-SA"/>
    </w:rPr>
  </w:style>
  <w:style w:type="paragraph" w:styleId="Style38" w:customStyle="1">
    <w:name w:val="Абзац"/>
    <w:basedOn w:val="Normal"/>
    <w:uiPriority w:val="99"/>
    <w:qFormat/>
    <w:rsid w:val="009644a8"/>
    <w:pPr>
      <w:widowControl/>
      <w:tabs>
        <w:tab w:val="left" w:pos="567" w:leader="none"/>
        <w:tab w:val="left" w:pos="1134" w:leader="none"/>
        <w:tab w:val="left" w:pos="1701" w:leader="none"/>
        <w:tab w:val="left" w:pos="2268" w:leader="none"/>
        <w:tab w:val="left" w:pos="2835" w:leader="none"/>
        <w:tab w:val="left" w:pos="3402" w:leader="none"/>
        <w:tab w:val="left" w:pos="3969" w:leader="none"/>
        <w:tab w:val="left" w:pos="4536" w:leader="none"/>
        <w:tab w:val="left" w:pos="5103" w:leader="none"/>
        <w:tab w:val="left" w:pos="5670" w:leader="none"/>
        <w:tab w:val="left" w:pos="6237" w:leader="none"/>
        <w:tab w:val="left" w:pos="6804" w:leader="none"/>
        <w:tab w:val="left" w:pos="7371" w:leader="none"/>
        <w:tab w:val="left" w:pos="7938" w:leader="none"/>
        <w:tab w:val="left" w:pos="8505" w:leader="none"/>
        <w:tab w:val="left" w:pos="9072" w:leader="none"/>
        <w:tab w:val="left" w:pos="9639" w:leader="none"/>
        <w:tab w:val="left" w:pos="10206" w:leader="none"/>
        <w:tab w:val="left" w:pos="10773" w:leader="none"/>
        <w:tab w:val="left" w:pos="11340" w:leader="none"/>
      </w:tabs>
      <w:spacing w:before="120" w:after="120"/>
      <w:ind w:firstLine="567"/>
      <w:contextualSpacing/>
    </w:pPr>
    <w:rPr>
      <w:rFonts w:ascii="GOST type A" w:hAnsi="GOST type A" w:eastAsia="Times New Roman"/>
      <w:i/>
      <w:sz w:val="28"/>
    </w:rPr>
  </w:style>
  <w:style w:type="paragraph" w:styleId="Style39" w:customStyle="1">
    <w:name w:val="Знак Знак Знак Знак Знак Знак Знак Знак Знак Знак Знак Знак Знак Знак Знак Знак"/>
    <w:basedOn w:val="Normal"/>
    <w:uiPriority w:val="99"/>
    <w:qFormat/>
    <w:rsid w:val="009644a8"/>
    <w:pPr>
      <w:spacing w:lineRule="exact" w:line="240" w:before="0" w:after="160"/>
      <w:ind w:hanging="0"/>
      <w:contextualSpacing/>
      <w:jc w:val="right"/>
    </w:pPr>
    <w:rPr>
      <w:rFonts w:eastAsia="Times New Roman"/>
      <w:sz w:val="20"/>
      <w:szCs w:val="20"/>
      <w:lang w:val="en-GB" w:eastAsia="en-US"/>
    </w:rPr>
  </w:style>
  <w:style w:type="paragraph" w:styleId="27" w:customStyle="1">
    <w:name w:val="Обычный2"/>
    <w:uiPriority w:val="99"/>
    <w:qFormat/>
    <w:rsid w:val="009644a8"/>
    <w:pPr>
      <w:widowControl/>
      <w:bidi w:val="0"/>
      <w:spacing w:before="0" w:after="0"/>
      <w:contextualSpacing/>
      <w:jc w:val="left"/>
    </w:pPr>
    <w:rPr>
      <w:rFonts w:ascii="Times New Roman" w:hAnsi="Times New Roman" w:eastAsia="Times New Roman" w:cs="Times New Roman"/>
      <w:color w:val="auto"/>
      <w:sz w:val="24"/>
      <w:szCs w:val="20"/>
      <w:lang w:val="ru-RU" w:eastAsia="ru-RU" w:bidi="ar-SA"/>
    </w:rPr>
  </w:style>
  <w:style w:type="paragraph" w:styleId="53" w:customStyle="1">
    <w:name w:val="Основной текст5"/>
    <w:basedOn w:val="Normal"/>
    <w:uiPriority w:val="99"/>
    <w:qFormat/>
    <w:rsid w:val="009644a8"/>
    <w:pPr>
      <w:shd w:val="clear" w:color="auto" w:fill="FFFFFF"/>
      <w:spacing w:lineRule="auto" w:before="0" w:after="360"/>
      <w:ind w:hanging="580"/>
      <w:contextualSpacing/>
    </w:pPr>
    <w:rPr>
      <w:rFonts w:ascii="Arial" w:hAnsi="Arial" w:eastAsia="Arial" w:cs="Arial"/>
      <w:i/>
      <w:iCs/>
      <w:color w:val="000000"/>
      <w:sz w:val="25"/>
      <w:szCs w:val="25"/>
    </w:rPr>
  </w:style>
  <w:style w:type="paragraph" w:styleId="74" w:customStyle="1">
    <w:name w:val="Основной текст7"/>
    <w:basedOn w:val="Normal"/>
    <w:uiPriority w:val="99"/>
    <w:qFormat/>
    <w:rsid w:val="009644a8"/>
    <w:pPr>
      <w:shd w:val="clear" w:color="auto" w:fill="FFFFFF"/>
      <w:spacing w:lineRule="exact" w:line="346" w:before="0" w:after="180"/>
      <w:ind w:hanging="0"/>
      <w:contextualSpacing/>
    </w:pPr>
    <w:rPr>
      <w:rFonts w:eastAsia="Times New Roman"/>
      <w:color w:val="000000"/>
      <w:spacing w:val="10"/>
    </w:rPr>
  </w:style>
  <w:style w:type="paragraph" w:styleId="28" w:customStyle="1">
    <w:name w:val="Основной текст (2)"/>
    <w:basedOn w:val="Normal"/>
    <w:link w:val="28"/>
    <w:qFormat/>
    <w:rsid w:val="009644a8"/>
    <w:pPr>
      <w:shd w:val="clear" w:color="auto" w:fill="FFFFFF"/>
      <w:spacing w:lineRule="exact" w:line="564" w:before="2100" w:after="1020"/>
      <w:ind w:hanging="0"/>
      <w:contextualSpacing/>
      <w:jc w:val="center"/>
    </w:pPr>
    <w:rPr>
      <w:rFonts w:ascii="Tahoma" w:hAnsi="Tahoma" w:eastAsia="Tahoma" w:cs="Tahoma"/>
      <w:b/>
      <w:bCs/>
      <w:sz w:val="33"/>
      <w:szCs w:val="33"/>
    </w:rPr>
  </w:style>
  <w:style w:type="paragraph" w:styleId="221" w:customStyle="1">
    <w:name w:val="Основной текст 22"/>
    <w:basedOn w:val="Normal"/>
    <w:uiPriority w:val="99"/>
    <w:qFormat/>
    <w:rsid w:val="009644a8"/>
    <w:pPr>
      <w:widowControl/>
      <w:spacing w:before="0" w:after="0"/>
      <w:contextualSpacing/>
      <w:jc w:val="center"/>
    </w:pPr>
    <w:rPr>
      <w:rFonts w:eastAsia="Times New Roman"/>
      <w:b/>
      <w:szCs w:val="20"/>
    </w:rPr>
  </w:style>
  <w:style w:type="paragraph" w:styleId="29" w:customStyle="1">
    <w:name w:val="Основной текст2"/>
    <w:basedOn w:val="Normal"/>
    <w:link w:val="aff7"/>
    <w:qFormat/>
    <w:rsid w:val="009644a8"/>
    <w:pPr>
      <w:shd w:val="clear" w:color="auto" w:fill="FFFFFF"/>
      <w:spacing w:lineRule="exact" w:line="311" w:before="480" w:after="120"/>
      <w:ind w:hanging="400"/>
      <w:contextualSpacing/>
    </w:pPr>
    <w:rPr>
      <w:rFonts w:eastAsia="Times New Roman"/>
      <w:spacing w:val="4"/>
      <w:sz w:val="21"/>
      <w:szCs w:val="21"/>
    </w:rPr>
  </w:style>
  <w:style w:type="paragraph" w:styleId="183" w:customStyle="1">
    <w:name w:val="Основной текст (18)"/>
    <w:basedOn w:val="Normal"/>
    <w:link w:val="18Exact"/>
    <w:qFormat/>
    <w:rsid w:val="009644a8"/>
    <w:pPr>
      <w:shd w:val="clear" w:color="auto" w:fill="FFFFFF"/>
      <w:spacing w:lineRule="auto" w:before="0" w:after="0"/>
      <w:ind w:hanging="0"/>
      <w:contextualSpacing/>
      <w:jc w:val="left"/>
    </w:pPr>
    <w:rPr>
      <w:rFonts w:ascii="Batang" w:hAnsi="Batang" w:eastAsia="Batang" w:cs="Batang"/>
      <w:spacing w:val="5"/>
      <w:sz w:val="10"/>
      <w:szCs w:val="10"/>
    </w:rPr>
  </w:style>
  <w:style w:type="paragraph" w:styleId="Style40" w:customStyle="1">
    <w:name w:val="Аля-текст"/>
    <w:basedOn w:val="Normal"/>
    <w:uiPriority w:val="99"/>
    <w:qFormat/>
    <w:rsid w:val="009644a8"/>
    <w:pPr>
      <w:widowControl/>
      <w:spacing w:before="0" w:after="0"/>
      <w:ind w:hanging="0"/>
      <w:contextualSpacing/>
    </w:pPr>
    <w:rPr>
      <w:rFonts w:eastAsia="Times New Roman"/>
      <w:sz w:val="28"/>
      <w:szCs w:val="20"/>
    </w:rPr>
  </w:style>
  <w:style w:type="paragraph" w:styleId="Font" w:customStyle="1">
    <w:name w:val="font"/>
    <w:basedOn w:val="Normal"/>
    <w:uiPriority w:val="99"/>
    <w:qFormat/>
    <w:rsid w:val="009644a8"/>
    <w:pPr>
      <w:widowControl/>
      <w:spacing w:beforeAutospacing="1" w:afterAutospacing="1"/>
      <w:ind w:hanging="0"/>
      <w:contextualSpacing/>
      <w:jc w:val="left"/>
    </w:pPr>
    <w:rPr>
      <w:rFonts w:ascii="Verdana" w:hAnsi="Verdana" w:eastAsia="Times New Roman"/>
      <w:sz w:val="16"/>
      <w:szCs w:val="16"/>
    </w:rPr>
  </w:style>
  <w:style w:type="paragraph" w:styleId="313" w:customStyle="1">
    <w:name w:val="Основной текст с отступом 31"/>
    <w:basedOn w:val="Normal"/>
    <w:uiPriority w:val="99"/>
    <w:qFormat/>
    <w:rsid w:val="009644a8"/>
    <w:pPr>
      <w:widowControl/>
      <w:spacing w:before="0" w:after="0"/>
      <w:ind w:left="567" w:firstLine="284"/>
      <w:contextualSpacing/>
    </w:pPr>
    <w:rPr>
      <w:rFonts w:eastAsia="Times New Roman"/>
      <w:sz w:val="28"/>
      <w:szCs w:val="20"/>
      <w:lang w:eastAsia="ar-SA"/>
    </w:rPr>
  </w:style>
  <w:style w:type="paragraph" w:styleId="63" w:customStyle="1">
    <w:name w:val="Заголовок №6"/>
    <w:basedOn w:val="Normal"/>
    <w:link w:val="61"/>
    <w:qFormat/>
    <w:rsid w:val="009644a8"/>
    <w:pPr>
      <w:widowControl/>
      <w:shd w:val="clear" w:color="auto" w:fill="FFFFFF"/>
      <w:spacing w:lineRule="atLeast" w:line="240" w:before="0" w:after="60"/>
      <w:ind w:hanging="280"/>
      <w:contextualSpacing/>
      <w:jc w:val="left"/>
      <w:outlineLvl w:val="5"/>
    </w:pPr>
    <w:rPr>
      <w:rFonts w:ascii="Calibri" w:hAnsi="Calibri"/>
      <w:b/>
      <w:bCs/>
      <w:sz w:val="32"/>
      <w:szCs w:val="32"/>
    </w:rPr>
  </w:style>
  <w:style w:type="paragraph" w:styleId="314" w:customStyle="1">
    <w:name w:val="Основной текст 31"/>
    <w:basedOn w:val="Normal"/>
    <w:uiPriority w:val="99"/>
    <w:qFormat/>
    <w:rsid w:val="009644a8"/>
    <w:pPr>
      <w:widowControl/>
      <w:spacing w:before="0" w:after="0"/>
      <w:ind w:right="197" w:hanging="0"/>
      <w:contextualSpacing/>
    </w:pPr>
    <w:rPr>
      <w:rFonts w:eastAsia="Times New Roman"/>
      <w:bCs/>
      <w:szCs w:val="20"/>
      <w:lang w:eastAsia="ar-SA"/>
    </w:rPr>
  </w:style>
  <w:style w:type="paragraph" w:styleId="7311" w:customStyle="1">
    <w:name w:val="Заголовок №7 (3)1"/>
    <w:basedOn w:val="Normal"/>
    <w:link w:val="73"/>
    <w:qFormat/>
    <w:rsid w:val="009644a8"/>
    <w:pPr>
      <w:widowControl/>
      <w:shd w:val="clear" w:color="auto" w:fill="FFFFFF"/>
      <w:spacing w:lineRule="exact" w:line="319" w:before="300" w:after="0"/>
      <w:ind w:hanging="0"/>
      <w:contextualSpacing/>
      <w:jc w:val="left"/>
      <w:outlineLvl w:val="6"/>
    </w:pPr>
    <w:rPr>
      <w:rFonts w:ascii="Calibri" w:hAnsi="Calibri"/>
      <w:b/>
      <w:bCs/>
      <w:i/>
      <w:iCs/>
      <w:sz w:val="28"/>
      <w:szCs w:val="28"/>
    </w:rPr>
  </w:style>
  <w:style w:type="paragraph" w:styleId="BodyText21" w:customStyle="1">
    <w:name w:val="Body Text 21"/>
    <w:basedOn w:val="Normal"/>
    <w:uiPriority w:val="99"/>
    <w:qFormat/>
    <w:rsid w:val="009644a8"/>
    <w:pPr>
      <w:overflowPunct w:val="true"/>
      <w:spacing w:before="100" w:after="100"/>
      <w:ind w:hanging="0"/>
      <w:contextualSpacing/>
    </w:pPr>
    <w:rPr>
      <w:rFonts w:ascii="Arial" w:hAnsi="Arial" w:eastAsia="Times New Roman"/>
      <w:szCs w:val="20"/>
    </w:rPr>
  </w:style>
  <w:style w:type="paragraph" w:styleId="161" w:customStyle="1">
    <w:name w:val="Основной текст (16)"/>
    <w:basedOn w:val="Normal"/>
    <w:link w:val="160"/>
    <w:qFormat/>
    <w:rsid w:val="009644a8"/>
    <w:pPr>
      <w:widowControl/>
      <w:shd w:val="clear" w:color="auto" w:fill="FFFFFF"/>
      <w:spacing w:lineRule="atLeast" w:line="240" w:before="0" w:after="0"/>
      <w:ind w:hanging="0"/>
      <w:contextualSpacing/>
      <w:jc w:val="left"/>
    </w:pPr>
    <w:rPr>
      <w:rFonts w:ascii="Arial" w:hAnsi="Arial" w:cs="Arial"/>
      <w:sz w:val="16"/>
      <w:szCs w:val="16"/>
    </w:rPr>
  </w:style>
  <w:style w:type="paragraph" w:styleId="622" w:customStyle="1">
    <w:name w:val="Заголовок №6 (2)"/>
    <w:basedOn w:val="Normal"/>
    <w:link w:val="620"/>
    <w:qFormat/>
    <w:rsid w:val="009644a8"/>
    <w:pPr>
      <w:widowControl/>
      <w:shd w:val="clear" w:color="auto" w:fill="FFFFFF"/>
      <w:spacing w:lineRule="exact" w:line="322" w:before="240" w:after="0"/>
      <w:ind w:hanging="260"/>
      <w:contextualSpacing/>
      <w:outlineLvl w:val="5"/>
    </w:pPr>
    <w:rPr>
      <w:rFonts w:ascii="Calibri" w:hAnsi="Calibri"/>
      <w:b/>
      <w:bCs/>
      <w:sz w:val="33"/>
      <w:szCs w:val="33"/>
    </w:rPr>
  </w:style>
  <w:style w:type="paragraph" w:styleId="35" w:customStyle="1">
    <w:name w:val="Заголовок №3"/>
    <w:basedOn w:val="Normal"/>
    <w:link w:val="35"/>
    <w:qFormat/>
    <w:rsid w:val="009644a8"/>
    <w:pPr>
      <w:widowControl/>
      <w:shd w:val="clear" w:color="auto" w:fill="FFFFFF"/>
      <w:spacing w:lineRule="atLeast" w:line="240" w:before="240" w:after="240"/>
      <w:ind w:hanging="0"/>
      <w:contextualSpacing/>
      <w:jc w:val="center"/>
      <w:outlineLvl w:val="2"/>
    </w:pPr>
    <w:rPr>
      <w:rFonts w:ascii="Calibri" w:hAnsi="Calibri"/>
      <w:sz w:val="28"/>
      <w:szCs w:val="28"/>
    </w:rPr>
  </w:style>
  <w:style w:type="paragraph" w:styleId="75" w:customStyle="1">
    <w:name w:val="Заголовок №7"/>
    <w:basedOn w:val="Normal"/>
    <w:link w:val="72"/>
    <w:qFormat/>
    <w:rsid w:val="009644a8"/>
    <w:pPr>
      <w:widowControl/>
      <w:shd w:val="clear" w:color="auto" w:fill="FFFFFF"/>
      <w:spacing w:lineRule="exact" w:line="319" w:before="120" w:after="0"/>
      <w:ind w:hanging="400"/>
      <w:contextualSpacing/>
      <w:jc w:val="left"/>
      <w:outlineLvl w:val="6"/>
    </w:pPr>
    <w:rPr>
      <w:rFonts w:ascii="Calibri" w:hAnsi="Calibri"/>
      <w:b/>
      <w:bCs/>
      <w:sz w:val="28"/>
      <w:szCs w:val="28"/>
    </w:rPr>
  </w:style>
  <w:style w:type="paragraph" w:styleId="214" w:customStyle="1">
    <w:name w:val="Основной текст с отступом 21"/>
    <w:basedOn w:val="Normal"/>
    <w:qFormat/>
    <w:rsid w:val="009644a8"/>
    <w:pPr>
      <w:widowControl/>
      <w:spacing w:before="0" w:after="0"/>
      <w:ind w:firstLine="708"/>
      <w:contextualSpacing/>
      <w:jc w:val="left"/>
    </w:pPr>
    <w:rPr>
      <w:rFonts w:ascii="Arial" w:hAnsi="Arial" w:eastAsia="Times New Roman" w:cs="Arial"/>
      <w:bCs/>
      <w:szCs w:val="20"/>
      <w:lang w:eastAsia="ar-SA"/>
    </w:rPr>
  </w:style>
  <w:style w:type="paragraph" w:styleId="IG126" w:customStyle="1">
    <w:name w:val="Стиль Обычный_IG + 12 пт Междустр.интервал:  минимум 6 пт"/>
    <w:basedOn w:val="Normal"/>
    <w:uiPriority w:val="99"/>
    <w:qFormat/>
    <w:rsid w:val="009644a8"/>
    <w:pPr>
      <w:widowControl/>
      <w:suppressAutoHyphens w:val="true"/>
      <w:spacing w:lineRule="atLeast" w:line="120" w:before="0" w:after="0"/>
      <w:ind w:firstLine="709"/>
      <w:contextualSpacing/>
    </w:pPr>
    <w:rPr>
      <w:rFonts w:eastAsia="Times New Roman"/>
      <w:sz w:val="28"/>
      <w:szCs w:val="20"/>
      <w:lang w:eastAsia="ar-SA"/>
    </w:rPr>
  </w:style>
  <w:style w:type="paragraph" w:styleId="IG" w:customStyle="1">
    <w:name w:val="Обычный_IG"/>
    <w:basedOn w:val="Normal"/>
    <w:uiPriority w:val="99"/>
    <w:qFormat/>
    <w:rsid w:val="009644a8"/>
    <w:pPr>
      <w:widowControl/>
      <w:suppressAutoHyphens w:val="true"/>
      <w:spacing w:lineRule="auto" w:line="360" w:before="0" w:after="0"/>
      <w:ind w:firstLine="709"/>
      <w:contextualSpacing/>
    </w:pPr>
    <w:rPr>
      <w:rFonts w:eastAsia="Times New Roman"/>
      <w:sz w:val="28"/>
      <w:szCs w:val="28"/>
      <w:lang w:eastAsia="ar-SA"/>
    </w:rPr>
  </w:style>
  <w:style w:type="paragraph" w:styleId="Norrus" w:customStyle="1">
    <w:name w:val="Norrus"/>
    <w:uiPriority w:val="99"/>
    <w:qFormat/>
    <w:rsid w:val="009644a8"/>
    <w:pPr>
      <w:widowControl w:val="false"/>
      <w:suppressAutoHyphens w:val="true"/>
      <w:overflowPunct w:val="true"/>
      <w:bidi w:val="0"/>
      <w:spacing w:before="0" w:after="0"/>
      <w:contextualSpacing/>
      <w:jc w:val="left"/>
    </w:pPr>
    <w:rPr>
      <w:rFonts w:ascii="NTHelvetica/Cyrillic" w:hAnsi="NTHelvetica/Cyrillic" w:eastAsia="Times New Roman" w:cs="Times New Roman"/>
      <w:color w:val="auto"/>
      <w:sz w:val="24"/>
      <w:szCs w:val="20"/>
      <w:lang w:val="en-GB" w:eastAsia="ru-RU" w:bidi="ar-SA"/>
    </w:rPr>
  </w:style>
  <w:style w:type="paragraph" w:styleId="Style42" w:customStyle="1">
    <w:name w:val="ТЕКСТ ОСНОВНОЙ"/>
    <w:basedOn w:val="Normal"/>
    <w:link w:val="aff8"/>
    <w:qFormat/>
    <w:rsid w:val="009644a8"/>
    <w:pPr>
      <w:widowControl/>
      <w:suppressAutoHyphens w:val="true"/>
      <w:spacing w:lineRule="auto" w:line="276" w:before="0" w:after="140"/>
      <w:ind w:right="-2" w:firstLine="709"/>
      <w:contextualSpacing/>
    </w:pPr>
    <w:rPr>
      <w:rFonts w:eastAsia="Times New Roman"/>
    </w:rPr>
  </w:style>
  <w:style w:type="paragraph" w:styleId="122" w:customStyle="1">
    <w:name w:val="Текст1"/>
    <w:basedOn w:val="Normal"/>
    <w:link w:val="1a"/>
    <w:qFormat/>
    <w:rsid w:val="009644a8"/>
    <w:pPr>
      <w:widowControl/>
      <w:spacing w:before="0" w:after="0"/>
      <w:ind w:hanging="0"/>
      <w:contextualSpacing/>
      <w:jc w:val="left"/>
    </w:pPr>
    <w:rPr>
      <w:rFonts w:ascii="Courier New" w:hAnsi="Courier New" w:eastAsia="Times New Roman"/>
      <w:sz w:val="20"/>
      <w:szCs w:val="20"/>
    </w:rPr>
  </w:style>
  <w:style w:type="paragraph" w:styleId="Style43" w:customStyle="1">
    <w:name w:val="Штамп"/>
    <w:basedOn w:val="Normal"/>
    <w:uiPriority w:val="99"/>
    <w:qFormat/>
    <w:rsid w:val="009644a8"/>
    <w:pPr>
      <w:widowControl/>
      <w:spacing w:before="0" w:after="0"/>
      <w:ind w:hanging="0"/>
      <w:contextualSpacing/>
      <w:jc w:val="center"/>
    </w:pPr>
    <w:rPr>
      <w:rFonts w:ascii="ГОСТ тип А" w:hAnsi="ГОСТ тип А" w:eastAsia="Times New Roman"/>
      <w:i/>
      <w:sz w:val="18"/>
      <w:szCs w:val="20"/>
    </w:rPr>
  </w:style>
  <w:style w:type="paragraph" w:styleId="Style44" w:customStyle="1">
    <w:name w:val="Текст таблицы"/>
    <w:basedOn w:val="Normal"/>
    <w:uiPriority w:val="99"/>
    <w:qFormat/>
    <w:rsid w:val="009644a8"/>
    <w:pPr>
      <w:widowControl/>
      <w:spacing w:before="40" w:after="40"/>
      <w:ind w:hanging="0"/>
      <w:contextualSpacing/>
      <w:jc w:val="left"/>
    </w:pPr>
    <w:rPr>
      <w:rFonts w:ascii="Arial" w:hAnsi="Arial" w:eastAsia="Times New Roman"/>
      <w:sz w:val="20"/>
      <w:lang w:val="en-GB" w:eastAsia="en-US"/>
    </w:rPr>
  </w:style>
  <w:style w:type="paragraph" w:styleId="Style45" w:customStyle="1">
    <w:name w:val="Содержимое таблицы"/>
    <w:basedOn w:val="Normal"/>
    <w:qFormat/>
    <w:rsid w:val="00b60676"/>
    <w:pPr>
      <w:suppressLineNumbers/>
      <w:suppressAutoHyphens w:val="true"/>
      <w:ind w:hanging="0"/>
      <w:jc w:val="left"/>
    </w:pPr>
    <w:rPr>
      <w:rFonts w:ascii="Arial" w:hAnsi="Arial" w:eastAsia="Lucida Sans Unicode" w:cs="Tahoma"/>
      <w:lang w:bidi="ru-RU"/>
    </w:rPr>
  </w:style>
  <w:style w:type="paragraph" w:styleId="Style46" w:customStyle="1">
    <w:name w:val="Заголовок таблицы"/>
    <w:basedOn w:val="Normal"/>
    <w:uiPriority w:val="99"/>
    <w:qFormat/>
    <w:rsid w:val="009644a8"/>
    <w:pPr>
      <w:widowControl/>
      <w:spacing w:before="60" w:after="60"/>
      <w:ind w:hanging="0"/>
      <w:contextualSpacing/>
      <w:jc w:val="center"/>
    </w:pPr>
    <w:rPr>
      <w:rFonts w:ascii="Arial" w:hAnsi="Arial" w:eastAsia="Times New Roman"/>
      <w:b/>
      <w:sz w:val="22"/>
      <w:lang w:eastAsia="en-US"/>
    </w:rPr>
  </w:style>
  <w:style w:type="paragraph" w:styleId="Indent" w:customStyle="1">
    <w:name w:val="indent"/>
    <w:basedOn w:val="Normal"/>
    <w:uiPriority w:val="99"/>
    <w:qFormat/>
    <w:rsid w:val="009644a8"/>
    <w:pPr>
      <w:widowControl/>
      <w:spacing w:beforeAutospacing="1" w:after="180"/>
      <w:ind w:firstLine="300"/>
      <w:contextualSpacing/>
      <w:jc w:val="left"/>
    </w:pPr>
    <w:rPr>
      <w:rFonts w:eastAsia="Times New Roman"/>
    </w:rPr>
  </w:style>
  <w:style w:type="paragraph" w:styleId="210" w:customStyle="1">
    <w:name w:val="Стиль2"/>
    <w:basedOn w:val="Normal"/>
    <w:uiPriority w:val="99"/>
    <w:qFormat/>
    <w:rsid w:val="009644a8"/>
    <w:pPr>
      <w:widowControl/>
      <w:spacing w:before="0" w:after="0"/>
      <w:contextualSpacing/>
      <w:jc w:val="left"/>
    </w:pPr>
    <w:rPr>
      <w:rFonts w:eastAsia="Times New Roman"/>
    </w:rPr>
  </w:style>
  <w:style w:type="paragraph" w:styleId="HEADERTEXT" w:customStyle="1">
    <w:name w:val=".HEADERTEXT"/>
    <w:uiPriority w:val="99"/>
    <w:qFormat/>
    <w:rsid w:val="009644a8"/>
    <w:pPr>
      <w:widowControl w:val="false"/>
      <w:bidi w:val="0"/>
      <w:spacing w:before="0" w:after="0"/>
      <w:contextualSpacing/>
      <w:jc w:val="left"/>
    </w:pPr>
    <w:rPr>
      <w:rFonts w:ascii="Times New Roman" w:hAnsi="Times New Roman" w:eastAsia="Times New Roman" w:cs="Times New Roman"/>
      <w:color w:val="2B4279"/>
      <w:sz w:val="24"/>
      <w:szCs w:val="24"/>
      <w:lang w:val="ru-RU" w:eastAsia="ru-RU" w:bidi="ar-SA"/>
    </w:rPr>
  </w:style>
  <w:style w:type="paragraph" w:styleId="215" w:customStyle="1">
    <w:name w:val="Знак Знак Знак Знак Знак Знак2"/>
    <w:basedOn w:val="Normal"/>
    <w:uiPriority w:val="99"/>
    <w:qFormat/>
    <w:rsid w:val="009644a8"/>
    <w:pPr>
      <w:spacing w:lineRule="exact" w:line="240" w:before="0" w:after="160"/>
      <w:ind w:hanging="0"/>
      <w:contextualSpacing/>
      <w:jc w:val="right"/>
    </w:pPr>
    <w:rPr>
      <w:rFonts w:eastAsia="Times New Roman"/>
      <w:sz w:val="20"/>
      <w:szCs w:val="20"/>
      <w:lang w:val="en-GB" w:eastAsia="en-US"/>
    </w:rPr>
  </w:style>
  <w:style w:type="paragraph" w:styleId="Style47" w:customStyle="1">
    <w:name w:val="_Основной текст"/>
    <w:basedOn w:val="Normal"/>
    <w:link w:val="2c"/>
    <w:autoRedefine/>
    <w:qFormat/>
    <w:rsid w:val="00212bd0"/>
    <w:pPr>
      <w:widowControl/>
      <w:ind w:left="142" w:firstLine="567"/>
      <w:jc w:val="left"/>
    </w:pPr>
    <w:rPr>
      <w:rFonts w:eastAsia="Times New Roman"/>
    </w:rPr>
  </w:style>
  <w:style w:type="paragraph" w:styleId="Style48" w:customStyle="1">
    <w:name w:val="-=Заголовок раздела=-"/>
    <w:autoRedefine/>
    <w:qFormat/>
    <w:rsid w:val="006f1061"/>
    <w:pPr>
      <w:keepNext/>
      <w:widowControl/>
      <w:tabs>
        <w:tab w:val="left" w:pos="1276" w:leader="none"/>
      </w:tabs>
      <w:bidi w:val="0"/>
      <w:spacing w:lineRule="auto" w:line="360" w:before="120" w:after="120"/>
      <w:ind w:firstLine="567"/>
      <w:contextualSpacing/>
      <w:jc w:val="left"/>
      <w:outlineLvl w:val="0"/>
    </w:pPr>
    <w:rPr>
      <w:rFonts w:ascii="Times New Roman" w:hAnsi="Times New Roman" w:eastAsia="Times New Roman" w:cs="Times New Roman"/>
      <w:bCs/>
      <w:color w:val="000000"/>
      <w:sz w:val="28"/>
      <w:szCs w:val="28"/>
      <w:lang w:val="ru-RU" w:eastAsia="ru-RU" w:bidi="ar-SA"/>
    </w:rPr>
  </w:style>
  <w:style w:type="paragraph" w:styleId="Western" w:customStyle="1">
    <w:name w:val="western"/>
    <w:basedOn w:val="Normal"/>
    <w:qFormat/>
    <w:rsid w:val="00f3476b"/>
    <w:pPr>
      <w:widowControl/>
      <w:spacing w:beforeAutospacing="1" w:after="119"/>
      <w:ind w:hanging="0"/>
      <w:jc w:val="left"/>
    </w:pPr>
    <w:rPr>
      <w:rFonts w:ascii="Arial" w:hAnsi="Arial" w:eastAsia="Times New Roman" w:cs="Arial"/>
    </w:rPr>
  </w:style>
  <w:style w:type="paragraph" w:styleId="Textbody" w:customStyle="1">
    <w:name w:val="Text body"/>
    <w:basedOn w:val="Normal"/>
    <w:qFormat/>
    <w:rsid w:val="00b60676"/>
    <w:pPr>
      <w:suppressAutoHyphens w:val="true"/>
      <w:spacing w:before="0" w:after="120"/>
      <w:ind w:left="283" w:right="283" w:firstLine="567"/>
      <w:jc w:val="left"/>
      <w:textAlignment w:val="baseline"/>
    </w:pPr>
    <w:rPr>
      <w:rFonts w:ascii="Arial" w:hAnsi="Arial" w:eastAsia="Times New Roman" w:cs="Tahoma"/>
    </w:rPr>
  </w:style>
  <w:style w:type="paragraph" w:styleId="Style49" w:customStyle="1">
    <w:name w:val="Подраздел"/>
    <w:basedOn w:val="Normal"/>
    <w:autoRedefine/>
    <w:qFormat/>
    <w:rsid w:val="00b10707"/>
    <w:pPr>
      <w:keepNext/>
      <w:suppressAutoHyphens w:val="true"/>
      <w:ind w:left="-567" w:right="-1" w:firstLine="709"/>
      <w:jc w:val="center"/>
    </w:pPr>
    <w:rPr>
      <w:rFonts w:eastAsia="Lucida Sans Unicode"/>
      <w:b/>
      <w:lang w:bidi="ru-RU"/>
    </w:rPr>
  </w:style>
  <w:style w:type="paragraph" w:styleId="ConsPlusNormal1" w:customStyle="1">
    <w:name w:val="ConsPlusNormal"/>
    <w:link w:val="ConsPlusNormal0"/>
    <w:qFormat/>
    <w:rsid w:val="00ad2a4c"/>
    <w:pPr>
      <w:widowControl w:val="false"/>
      <w:bidi w:val="0"/>
      <w:ind w:firstLine="720"/>
      <w:jc w:val="left"/>
    </w:pPr>
    <w:rPr>
      <w:rFonts w:ascii="Arial" w:hAnsi="Arial" w:eastAsia="Times New Roman" w:cs="Arial"/>
      <w:color w:val="auto"/>
      <w:sz w:val="24"/>
      <w:szCs w:val="20"/>
      <w:lang w:val="ru-RU" w:eastAsia="ru-RU" w:bidi="ar-SA"/>
    </w:rPr>
  </w:style>
  <w:style w:type="paragraph" w:styleId="Standard" w:customStyle="1">
    <w:name w:val="Standard"/>
    <w:qFormat/>
    <w:rsid w:val="00ad2a4c"/>
    <w:pPr>
      <w:widowControl/>
      <w:bidi w:val="0"/>
      <w:spacing w:lineRule="auto" w:line="300"/>
      <w:ind w:firstLine="709"/>
      <w:jc w:val="left"/>
      <w:textAlignment w:val="baseline"/>
    </w:pPr>
    <w:rPr>
      <w:rFonts w:ascii="Arial" w:hAnsi="Arial" w:eastAsia="Times New Roman" w:cs="Times New Roman"/>
      <w:color w:val="auto"/>
      <w:sz w:val="28"/>
      <w:szCs w:val="20"/>
      <w:lang w:val="ru-RU" w:eastAsia="ru-RU" w:bidi="ar-SA"/>
    </w:rPr>
  </w:style>
  <w:style w:type="paragraph" w:styleId="54" w:customStyle="1">
    <w:name w:val="Обычный5"/>
    <w:qFormat/>
    <w:rsid w:val="005f670e"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0"/>
      <w:lang w:val="en-US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ff0">
    <w:name w:val="Table Grid"/>
    <w:basedOn w:val="a2"/>
    <w:rsid w:val="009644a8"/>
    <w:pPr>
      <w:jc w:val="left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EB0260-53E6-435F-B9B3-1F18D4778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Application>LibreOffice/5.2.3.3$Windows_x86 LibreOffice_project/d54a8868f08a7b39642414cf2c8ef2f228f780cf</Application>
  <Pages>15</Pages>
  <Words>4005</Words>
  <Characters>28685</Characters>
  <CharactersWithSpaces>32421</CharactersWithSpaces>
  <Paragraphs>457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2016-06-28T13:26:00Z</dcterms:created>
  <dc:creator>1</dc:creator>
  <dc:description/>
  <dc:language>ru-RU</dc:language>
  <cp:lastModifiedBy/>
  <cp:lastPrinted>2016-12-13T16:28:00Z</cp:lastPrinted>
  <dcterms:modified xsi:type="dcterms:W3CDTF">2018-03-21T13:59:51Z</dcterms:modified>
  <cp:revision>100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